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9044B" w14:textId="05B1E784" w:rsidR="007220D0" w:rsidRPr="00126D7D" w:rsidRDefault="00126D7D" w:rsidP="008D0F8A">
      <w:pPr>
        <w:spacing w:after="120" w:line="240" w:lineRule="auto"/>
        <w:jc w:val="both"/>
        <w:rPr>
          <w:b/>
          <w:color w:val="000000" w:themeColor="text1"/>
        </w:rPr>
      </w:pPr>
      <w:r w:rsidRPr="00126D7D">
        <w:rPr>
          <w:b/>
          <w:color w:val="000000" w:themeColor="text1"/>
        </w:rPr>
        <w:t xml:space="preserve">Załącznik nr </w:t>
      </w:r>
      <w:r w:rsidR="00080FDA">
        <w:rPr>
          <w:b/>
          <w:color w:val="000000" w:themeColor="text1"/>
        </w:rPr>
        <w:t>6</w:t>
      </w:r>
      <w:r w:rsidRPr="00126D7D">
        <w:rPr>
          <w:b/>
          <w:color w:val="000000" w:themeColor="text1"/>
        </w:rPr>
        <w:t xml:space="preserve"> do umowy nr __________________________</w:t>
      </w:r>
    </w:p>
    <w:p w14:paraId="4A468E4F" w14:textId="54537B62" w:rsidR="00862F25" w:rsidRPr="00126D7D" w:rsidRDefault="00862F25" w:rsidP="008D0F8A">
      <w:pPr>
        <w:spacing w:after="120" w:line="240" w:lineRule="auto"/>
        <w:jc w:val="both"/>
        <w:rPr>
          <w:b/>
          <w:color w:val="000000" w:themeColor="text1"/>
        </w:rPr>
      </w:pPr>
    </w:p>
    <w:p w14:paraId="161206C3" w14:textId="7316BF63" w:rsidR="00126D7D" w:rsidRPr="00126D7D" w:rsidRDefault="007B1419" w:rsidP="00546777">
      <w:pPr>
        <w:spacing w:after="24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Warunki obliczania rekompensaty z tytułu poniesionych kosztów w związku ze świadczeniem usługi.</w:t>
      </w:r>
    </w:p>
    <w:p w14:paraId="24E5948A" w14:textId="4FCA8557" w:rsidR="00180C00" w:rsidRDefault="007857F6" w:rsidP="00466DBE">
      <w:pPr>
        <w:pStyle w:val="Akapitzlist"/>
        <w:numPr>
          <w:ilvl w:val="0"/>
          <w:numId w:val="26"/>
        </w:numPr>
        <w:spacing w:after="120" w:line="240" w:lineRule="auto"/>
        <w:contextualSpacing w:val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Poziom rekompensaty wylicza się</w:t>
      </w:r>
      <w:r w:rsidR="007E19E8">
        <w:rPr>
          <w:b/>
          <w:color w:val="000000" w:themeColor="text1"/>
        </w:rPr>
        <w:t xml:space="preserve"> w odniesieniu do przychodów i kosztów związanych bezpośrednio z realizacją usługi lub naliczonych proporcjonalnie do zaangażowania zasobów w realizację usługi.</w:t>
      </w:r>
    </w:p>
    <w:p w14:paraId="276A36FE" w14:textId="33BFDB3A" w:rsidR="00180C00" w:rsidRDefault="006E4EDE" w:rsidP="00466DBE">
      <w:pPr>
        <w:pStyle w:val="Akapitzlist"/>
        <w:numPr>
          <w:ilvl w:val="0"/>
          <w:numId w:val="26"/>
        </w:numPr>
        <w:spacing w:after="120" w:line="240" w:lineRule="auto"/>
        <w:contextualSpacing w:val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Z</w:t>
      </w:r>
      <w:r w:rsidR="00180C00">
        <w:rPr>
          <w:b/>
          <w:color w:val="000000" w:themeColor="text1"/>
        </w:rPr>
        <w:t xml:space="preserve">godnie z art. 50 ust. 2 i 3 ustawy o publicznym transporcie zbiorowym, w przypadku wyboru operatora w trybie przepisów ustawy z dnia 21 października 2016 r. o umowie koncesji na roboty budowlane lub usługi (Dz. U. z 2016 r. poz. 1920, z </w:t>
      </w:r>
      <w:proofErr w:type="spellStart"/>
      <w:r w:rsidR="00180C00">
        <w:rPr>
          <w:b/>
          <w:color w:val="000000" w:themeColor="text1"/>
        </w:rPr>
        <w:t>późn</w:t>
      </w:r>
      <w:proofErr w:type="spellEnd"/>
      <w:r w:rsidR="00180C00">
        <w:rPr>
          <w:b/>
          <w:color w:val="000000" w:themeColor="text1"/>
        </w:rPr>
        <w:t>. zm.) lub w trybie bezpośredniego zawarcia umowy, jeżeli umowa o świadczenie usług publicznych przyjmuje formę koncesji</w:t>
      </w:r>
      <w:r>
        <w:rPr>
          <w:b/>
          <w:color w:val="000000" w:themeColor="text1"/>
        </w:rPr>
        <w:t xml:space="preserve"> na usługi, przekazanie rekompensaty z tytułu poniesionych kosztów w związku ze świadczeniem usług w zakresie publicznego transportu zbiorowego nie może prowadzić do odzyskania całości poniesionych kosztów. Biorąc powyższe pod uwagę, przy ustalaniu wysokości rekompensaty przyjęto wskaźnik</w:t>
      </w:r>
      <w:r w:rsidR="001206CB">
        <w:rPr>
          <w:b/>
          <w:color w:val="000000" w:themeColor="text1"/>
        </w:rPr>
        <w:t xml:space="preserve"> ryzyka realizacji umowy</w:t>
      </w:r>
      <w:r>
        <w:rPr>
          <w:b/>
          <w:color w:val="000000" w:themeColor="text1"/>
        </w:rPr>
        <w:t xml:space="preserve"> zmniejszający należną wysokość rekompensaty poniżej poziomu wygenerowanych kosztów.</w:t>
      </w:r>
      <w:r w:rsidR="001206CB">
        <w:rPr>
          <w:b/>
          <w:color w:val="000000" w:themeColor="text1"/>
        </w:rPr>
        <w:t xml:space="preserve"> Wskaźnik </w:t>
      </w:r>
      <w:r w:rsidR="00A52FEC">
        <w:rPr>
          <w:b/>
          <w:color w:val="000000" w:themeColor="text1"/>
        </w:rPr>
        <w:t>ustalono w wysokości</w:t>
      </w:r>
      <w:r w:rsidR="001206CB">
        <w:rPr>
          <w:b/>
          <w:color w:val="000000" w:themeColor="text1"/>
        </w:rPr>
        <w:t xml:space="preserve"> 0,9.</w:t>
      </w:r>
    </w:p>
    <w:p w14:paraId="39B4F254" w14:textId="28E644AE" w:rsidR="001B5612" w:rsidRDefault="007E19E8" w:rsidP="00466DBE">
      <w:pPr>
        <w:pStyle w:val="Akapitzlist"/>
        <w:numPr>
          <w:ilvl w:val="0"/>
          <w:numId w:val="26"/>
        </w:numPr>
        <w:spacing w:after="120" w:line="240" w:lineRule="auto"/>
        <w:contextualSpacing w:val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Poziom rekompensaty oblicza się </w:t>
      </w:r>
      <w:r w:rsidR="007857F6">
        <w:rPr>
          <w:b/>
          <w:color w:val="000000" w:themeColor="text1"/>
        </w:rPr>
        <w:t>według następującego wzoru:</w:t>
      </w:r>
    </w:p>
    <w:p w14:paraId="110553FF" w14:textId="34A6EC9C" w:rsidR="008E6799" w:rsidRDefault="008E6799" w:rsidP="008E6799">
      <w:pPr>
        <w:pStyle w:val="Akapitzlist"/>
        <w:spacing w:after="120" w:line="240" w:lineRule="auto"/>
        <w:ind w:left="360"/>
        <w:contextualSpacing w:val="0"/>
        <w:jc w:val="both"/>
        <w:rPr>
          <w:b/>
          <w:color w:val="000000" w:themeColor="text1"/>
        </w:rPr>
      </w:pPr>
    </w:p>
    <w:p w14:paraId="21D4A53D" w14:textId="23F80330" w:rsidR="00180C00" w:rsidRPr="00180C00" w:rsidRDefault="00424218" w:rsidP="00180C00">
      <w:pPr>
        <w:pStyle w:val="Akapitzlist"/>
        <w:spacing w:after="120" w:line="240" w:lineRule="auto"/>
        <w:ind w:left="0"/>
        <w:contextualSpacing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</w:t>
      </w:r>
      <w:r w:rsidR="008E6799" w:rsidRPr="00180C00">
        <w:rPr>
          <w:color w:val="000000" w:themeColor="text1"/>
          <w:sz w:val="28"/>
          <w:szCs w:val="28"/>
        </w:rPr>
        <w:t xml:space="preserve"> = </w:t>
      </w:r>
      <w:r w:rsidR="00180C00" w:rsidRPr="00180C00">
        <w:rPr>
          <w:color w:val="000000" w:themeColor="text1"/>
          <w:sz w:val="28"/>
          <w:szCs w:val="28"/>
        </w:rPr>
        <w:t>(B</w:t>
      </w:r>
      <w:r>
        <w:rPr>
          <w:color w:val="000000" w:themeColor="text1"/>
          <w:sz w:val="28"/>
          <w:szCs w:val="28"/>
        </w:rPr>
        <w:t xml:space="preserve"> </w:t>
      </w:r>
      <w:r w:rsidR="00180C00" w:rsidRPr="00180C00">
        <w:rPr>
          <w:color w:val="000000" w:themeColor="text1"/>
          <w:sz w:val="28"/>
          <w:szCs w:val="28"/>
        </w:rPr>
        <w:t>+</w:t>
      </w:r>
      <w:r>
        <w:rPr>
          <w:color w:val="000000" w:themeColor="text1"/>
          <w:sz w:val="28"/>
          <w:szCs w:val="28"/>
        </w:rPr>
        <w:t xml:space="preserve"> </w:t>
      </w:r>
      <w:r w:rsidR="00180C00" w:rsidRPr="00180C00">
        <w:rPr>
          <w:color w:val="000000" w:themeColor="text1"/>
          <w:sz w:val="28"/>
          <w:szCs w:val="28"/>
        </w:rPr>
        <w:t>D – A</w:t>
      </w:r>
      <w:r>
        <w:rPr>
          <w:color w:val="000000" w:themeColor="text1"/>
          <w:sz w:val="28"/>
          <w:szCs w:val="28"/>
        </w:rPr>
        <w:t xml:space="preserve"> – </w:t>
      </w:r>
      <w:r w:rsidR="00180C00" w:rsidRPr="00180C00">
        <w:rPr>
          <w:color w:val="000000" w:themeColor="text1"/>
          <w:sz w:val="28"/>
          <w:szCs w:val="28"/>
        </w:rPr>
        <w:t>C</w:t>
      </w:r>
      <w:r>
        <w:rPr>
          <w:color w:val="000000" w:themeColor="text1"/>
          <w:sz w:val="28"/>
          <w:szCs w:val="28"/>
        </w:rPr>
        <w:t xml:space="preserve"> – E</w:t>
      </w:r>
      <w:r w:rsidR="00180C00" w:rsidRPr="00180C00">
        <w:rPr>
          <w:color w:val="000000" w:themeColor="text1"/>
          <w:sz w:val="28"/>
          <w:szCs w:val="28"/>
        </w:rPr>
        <w:t>)</w:t>
      </w:r>
      <w:r w:rsidR="00D83EF5">
        <w:rPr>
          <w:color w:val="000000" w:themeColor="text1"/>
          <w:sz w:val="28"/>
          <w:szCs w:val="28"/>
        </w:rPr>
        <w:t xml:space="preserve"> </w:t>
      </w:r>
      <w:r w:rsidR="00180C00" w:rsidRPr="00180C00">
        <w:rPr>
          <w:color w:val="000000" w:themeColor="text1"/>
          <w:sz w:val="28"/>
          <w:szCs w:val="28"/>
        </w:rPr>
        <w:t>*</w:t>
      </w:r>
      <w:r w:rsidR="00D83EF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F</w:t>
      </w:r>
    </w:p>
    <w:p w14:paraId="46B83511" w14:textId="35D50DB4" w:rsidR="008E6799" w:rsidRPr="00424218" w:rsidRDefault="00424218" w:rsidP="008E6799">
      <w:pPr>
        <w:pStyle w:val="Akapitzlist"/>
        <w:spacing w:after="120" w:line="240" w:lineRule="auto"/>
        <w:ind w:left="360"/>
        <w:contextualSpacing w:val="0"/>
        <w:jc w:val="both"/>
        <w:rPr>
          <w:color w:val="000000" w:themeColor="text1"/>
        </w:rPr>
      </w:pPr>
      <w:r w:rsidRPr="00424218">
        <w:rPr>
          <w:color w:val="000000" w:themeColor="text1"/>
        </w:rPr>
        <w:t>gdzie</w:t>
      </w:r>
    </w:p>
    <w:p w14:paraId="47A2ECB9" w14:textId="16756A57" w:rsidR="007857F6" w:rsidRPr="008E6799" w:rsidRDefault="007857F6" w:rsidP="00D4154B">
      <w:pPr>
        <w:pStyle w:val="Akapitzlist"/>
        <w:numPr>
          <w:ilvl w:val="0"/>
          <w:numId w:val="32"/>
        </w:numPr>
        <w:spacing w:after="120" w:line="240" w:lineRule="auto"/>
        <w:contextualSpacing w:val="0"/>
        <w:jc w:val="both"/>
        <w:rPr>
          <w:color w:val="000000" w:themeColor="text1"/>
        </w:rPr>
      </w:pPr>
      <w:r w:rsidRPr="008E6799">
        <w:rPr>
          <w:color w:val="000000" w:themeColor="text1"/>
        </w:rPr>
        <w:t xml:space="preserve">przychody operacyjne </w:t>
      </w:r>
      <w:r w:rsidR="003528E2">
        <w:rPr>
          <w:color w:val="000000" w:themeColor="text1"/>
        </w:rPr>
        <w:t>i</w:t>
      </w:r>
      <w:r w:rsidRPr="008E6799">
        <w:rPr>
          <w:color w:val="000000" w:themeColor="text1"/>
        </w:rPr>
        <w:t xml:space="preserve"> zrównane z nimi</w:t>
      </w:r>
      <w:r w:rsidR="00D4154B" w:rsidRPr="008E6799">
        <w:rPr>
          <w:color w:val="000000" w:themeColor="text1"/>
        </w:rPr>
        <w:t>, w tym:</w:t>
      </w:r>
    </w:p>
    <w:p w14:paraId="06E99398" w14:textId="42D87428" w:rsidR="00D4154B" w:rsidRPr="008E6799" w:rsidRDefault="00D4154B" w:rsidP="008E6799">
      <w:pPr>
        <w:pStyle w:val="Akapitzlist"/>
        <w:numPr>
          <w:ilvl w:val="1"/>
          <w:numId w:val="32"/>
        </w:numPr>
        <w:spacing w:after="0" w:line="240" w:lineRule="auto"/>
        <w:ind w:left="1797" w:hanging="357"/>
        <w:contextualSpacing w:val="0"/>
        <w:jc w:val="both"/>
        <w:rPr>
          <w:color w:val="000000" w:themeColor="text1"/>
        </w:rPr>
      </w:pPr>
      <w:r w:rsidRPr="008E6799">
        <w:rPr>
          <w:color w:val="000000" w:themeColor="text1"/>
        </w:rPr>
        <w:t>przychody ze sprzedaży biletów</w:t>
      </w:r>
    </w:p>
    <w:p w14:paraId="71A34FFC" w14:textId="07C1BA56" w:rsidR="00D4154B" w:rsidRPr="008E6799" w:rsidRDefault="00D4154B" w:rsidP="00D4154B">
      <w:pPr>
        <w:pStyle w:val="Akapitzlist"/>
        <w:numPr>
          <w:ilvl w:val="1"/>
          <w:numId w:val="32"/>
        </w:numPr>
        <w:spacing w:after="120" w:line="240" w:lineRule="auto"/>
        <w:contextualSpacing w:val="0"/>
        <w:jc w:val="both"/>
        <w:rPr>
          <w:color w:val="000000" w:themeColor="text1"/>
        </w:rPr>
      </w:pPr>
      <w:r w:rsidRPr="008E6799">
        <w:rPr>
          <w:color w:val="000000" w:themeColor="text1"/>
        </w:rPr>
        <w:t xml:space="preserve">przychody z pozostałej </w:t>
      </w:r>
      <w:r w:rsidR="001E6AD2" w:rsidRPr="008E6799">
        <w:rPr>
          <w:color w:val="000000" w:themeColor="text1"/>
        </w:rPr>
        <w:t>działalności</w:t>
      </w:r>
    </w:p>
    <w:p w14:paraId="2E01BC71" w14:textId="6DA1EB58" w:rsidR="007857F6" w:rsidRPr="008E6799" w:rsidRDefault="007857F6" w:rsidP="00D4154B">
      <w:pPr>
        <w:pStyle w:val="Akapitzlist"/>
        <w:numPr>
          <w:ilvl w:val="0"/>
          <w:numId w:val="32"/>
        </w:numPr>
        <w:spacing w:after="120" w:line="240" w:lineRule="auto"/>
        <w:contextualSpacing w:val="0"/>
        <w:jc w:val="both"/>
        <w:rPr>
          <w:color w:val="000000" w:themeColor="text1"/>
        </w:rPr>
      </w:pPr>
      <w:r w:rsidRPr="008E6799">
        <w:rPr>
          <w:color w:val="000000" w:themeColor="text1"/>
        </w:rPr>
        <w:t>koszty działalności operacyjnej</w:t>
      </w:r>
      <w:r w:rsidR="001E6AD2" w:rsidRPr="008E6799">
        <w:rPr>
          <w:color w:val="000000" w:themeColor="text1"/>
        </w:rPr>
        <w:t>, w tym:</w:t>
      </w:r>
    </w:p>
    <w:p w14:paraId="77CE83EE" w14:textId="04ECECCA" w:rsidR="001E6AD2" w:rsidRPr="008E6799" w:rsidRDefault="00733332" w:rsidP="008E6799">
      <w:pPr>
        <w:pStyle w:val="Akapitzlist"/>
        <w:numPr>
          <w:ilvl w:val="1"/>
          <w:numId w:val="32"/>
        </w:numPr>
        <w:spacing w:after="0" w:line="240" w:lineRule="auto"/>
        <w:ind w:left="1797" w:hanging="357"/>
        <w:contextualSpacing w:val="0"/>
        <w:jc w:val="both"/>
        <w:rPr>
          <w:color w:val="000000" w:themeColor="text1"/>
        </w:rPr>
      </w:pPr>
      <w:r w:rsidRPr="008E6799">
        <w:rPr>
          <w:color w:val="000000" w:themeColor="text1"/>
        </w:rPr>
        <w:t xml:space="preserve">koszty </w:t>
      </w:r>
      <w:r w:rsidR="001E6AD2" w:rsidRPr="008E6799">
        <w:rPr>
          <w:color w:val="000000" w:themeColor="text1"/>
        </w:rPr>
        <w:t>amortyzacj</w:t>
      </w:r>
      <w:r w:rsidRPr="008E6799">
        <w:rPr>
          <w:color w:val="000000" w:themeColor="text1"/>
        </w:rPr>
        <w:t>i</w:t>
      </w:r>
      <w:r w:rsidR="001E6AD2" w:rsidRPr="008E6799">
        <w:rPr>
          <w:color w:val="000000" w:themeColor="text1"/>
        </w:rPr>
        <w:t xml:space="preserve"> pojazdów, urządzeń, budynków wyposażenia</w:t>
      </w:r>
    </w:p>
    <w:p w14:paraId="4A1C2303" w14:textId="7AEAC82B" w:rsidR="00733332" w:rsidRPr="008E6799" w:rsidRDefault="00733332" w:rsidP="008E6799">
      <w:pPr>
        <w:pStyle w:val="Akapitzlist"/>
        <w:numPr>
          <w:ilvl w:val="1"/>
          <w:numId w:val="32"/>
        </w:numPr>
        <w:spacing w:after="0" w:line="240" w:lineRule="auto"/>
        <w:ind w:left="1797" w:hanging="357"/>
        <w:contextualSpacing w:val="0"/>
        <w:jc w:val="both"/>
        <w:rPr>
          <w:color w:val="000000" w:themeColor="text1"/>
        </w:rPr>
      </w:pPr>
      <w:r w:rsidRPr="008E6799">
        <w:rPr>
          <w:color w:val="000000" w:themeColor="text1"/>
        </w:rPr>
        <w:t>koszty wynagrodzeń</w:t>
      </w:r>
      <w:bookmarkStart w:id="0" w:name="_GoBack"/>
      <w:bookmarkEnd w:id="0"/>
    </w:p>
    <w:p w14:paraId="46185A78" w14:textId="6D82983B" w:rsidR="00733332" w:rsidRPr="008E6799" w:rsidRDefault="00733332" w:rsidP="008E6799">
      <w:pPr>
        <w:pStyle w:val="Akapitzlist"/>
        <w:numPr>
          <w:ilvl w:val="1"/>
          <w:numId w:val="32"/>
        </w:numPr>
        <w:spacing w:after="0" w:line="240" w:lineRule="auto"/>
        <w:ind w:left="1797" w:hanging="357"/>
        <w:contextualSpacing w:val="0"/>
        <w:jc w:val="both"/>
        <w:rPr>
          <w:color w:val="000000" w:themeColor="text1"/>
        </w:rPr>
      </w:pPr>
      <w:r w:rsidRPr="008E6799">
        <w:rPr>
          <w:color w:val="000000" w:themeColor="text1"/>
        </w:rPr>
        <w:t>koszty ubezpieczeń społecznych i innych świadczeń na rzecz pracowników</w:t>
      </w:r>
    </w:p>
    <w:p w14:paraId="6C8E5A71" w14:textId="23040D65" w:rsidR="00733332" w:rsidRPr="008E6799" w:rsidRDefault="00733332" w:rsidP="008E6799">
      <w:pPr>
        <w:pStyle w:val="Akapitzlist"/>
        <w:numPr>
          <w:ilvl w:val="1"/>
          <w:numId w:val="32"/>
        </w:numPr>
        <w:spacing w:after="0" w:line="240" w:lineRule="auto"/>
        <w:ind w:left="1797" w:hanging="357"/>
        <w:contextualSpacing w:val="0"/>
        <w:jc w:val="both"/>
        <w:rPr>
          <w:color w:val="000000" w:themeColor="text1"/>
        </w:rPr>
      </w:pPr>
      <w:r w:rsidRPr="008E6799">
        <w:rPr>
          <w:color w:val="000000" w:themeColor="text1"/>
        </w:rPr>
        <w:t>koszty zużycia energii (elektrycznej, paliwa, innej</w:t>
      </w:r>
      <w:r w:rsidR="00D67F0E" w:rsidRPr="008E6799">
        <w:rPr>
          <w:color w:val="000000" w:themeColor="text1"/>
        </w:rPr>
        <w:t>)</w:t>
      </w:r>
      <w:r w:rsidRPr="008E6799">
        <w:rPr>
          <w:color w:val="000000" w:themeColor="text1"/>
        </w:rPr>
        <w:t xml:space="preserve"> </w:t>
      </w:r>
    </w:p>
    <w:p w14:paraId="15F7040F" w14:textId="43EB86CF" w:rsidR="00733332" w:rsidRPr="008E6799" w:rsidRDefault="00D67F0E" w:rsidP="008E6799">
      <w:pPr>
        <w:pStyle w:val="Akapitzlist"/>
        <w:numPr>
          <w:ilvl w:val="1"/>
          <w:numId w:val="32"/>
        </w:numPr>
        <w:spacing w:after="0" w:line="240" w:lineRule="auto"/>
        <w:ind w:left="1797" w:hanging="357"/>
        <w:contextualSpacing w:val="0"/>
        <w:jc w:val="both"/>
        <w:rPr>
          <w:color w:val="000000" w:themeColor="text1"/>
        </w:rPr>
      </w:pPr>
      <w:r w:rsidRPr="008E6799">
        <w:rPr>
          <w:color w:val="000000" w:themeColor="text1"/>
        </w:rPr>
        <w:t>koszty zużycia materiałów (technicznych, administracyjnych, gospodarczych)</w:t>
      </w:r>
    </w:p>
    <w:p w14:paraId="3D9F882B" w14:textId="3BBC10C2" w:rsidR="00D67F0E" w:rsidRPr="008E6799" w:rsidRDefault="00D67F0E" w:rsidP="008E6799">
      <w:pPr>
        <w:pStyle w:val="Akapitzlist"/>
        <w:numPr>
          <w:ilvl w:val="1"/>
          <w:numId w:val="32"/>
        </w:numPr>
        <w:spacing w:after="0" w:line="240" w:lineRule="auto"/>
        <w:ind w:left="1797" w:hanging="357"/>
        <w:contextualSpacing w:val="0"/>
        <w:jc w:val="both"/>
        <w:rPr>
          <w:color w:val="000000" w:themeColor="text1"/>
        </w:rPr>
      </w:pPr>
      <w:r w:rsidRPr="008E6799">
        <w:rPr>
          <w:color w:val="000000" w:themeColor="text1"/>
        </w:rPr>
        <w:t>koszty dostępu do infrastruktury (koszty opłat za korzystanie z przystanków i dworców, koszty publikacji rozkładów jazdy)</w:t>
      </w:r>
    </w:p>
    <w:p w14:paraId="38DBB37A" w14:textId="45BF3A25" w:rsidR="00D67F0E" w:rsidRPr="008E6799" w:rsidRDefault="00D67F0E" w:rsidP="008E6799">
      <w:pPr>
        <w:pStyle w:val="Akapitzlist"/>
        <w:numPr>
          <w:ilvl w:val="1"/>
          <w:numId w:val="32"/>
        </w:numPr>
        <w:spacing w:after="0" w:line="240" w:lineRule="auto"/>
        <w:ind w:left="1797" w:hanging="357"/>
        <w:contextualSpacing w:val="0"/>
        <w:jc w:val="both"/>
        <w:rPr>
          <w:color w:val="000000" w:themeColor="text1"/>
        </w:rPr>
      </w:pPr>
      <w:r w:rsidRPr="008E6799">
        <w:rPr>
          <w:color w:val="000000" w:themeColor="text1"/>
        </w:rPr>
        <w:t>koszty usług obcych</w:t>
      </w:r>
    </w:p>
    <w:p w14:paraId="54268165" w14:textId="00398625" w:rsidR="00D67F0E" w:rsidRPr="008E6799" w:rsidRDefault="00D67F0E" w:rsidP="008E6799">
      <w:pPr>
        <w:pStyle w:val="Akapitzlist"/>
        <w:numPr>
          <w:ilvl w:val="1"/>
          <w:numId w:val="32"/>
        </w:numPr>
        <w:spacing w:after="0" w:line="240" w:lineRule="auto"/>
        <w:ind w:left="1797" w:hanging="357"/>
        <w:contextualSpacing w:val="0"/>
        <w:jc w:val="both"/>
        <w:rPr>
          <w:color w:val="000000" w:themeColor="text1"/>
        </w:rPr>
      </w:pPr>
      <w:r w:rsidRPr="008E6799">
        <w:rPr>
          <w:color w:val="000000" w:themeColor="text1"/>
        </w:rPr>
        <w:t>podatki i opłaty (np. opłaty urzędowe, administracyjne, skarbowe, podatek od nieruchomości, podatek od środków transportu, podatek VAT zaliczony w koszty)</w:t>
      </w:r>
    </w:p>
    <w:p w14:paraId="39DBFA54" w14:textId="5D33EF2F" w:rsidR="00D67F0E" w:rsidRPr="008E6799" w:rsidRDefault="00D67F0E" w:rsidP="001E6AD2">
      <w:pPr>
        <w:pStyle w:val="Akapitzlist"/>
        <w:numPr>
          <w:ilvl w:val="1"/>
          <w:numId w:val="32"/>
        </w:numPr>
        <w:spacing w:after="120" w:line="240" w:lineRule="auto"/>
        <w:contextualSpacing w:val="0"/>
        <w:jc w:val="both"/>
        <w:rPr>
          <w:color w:val="000000" w:themeColor="text1"/>
        </w:rPr>
      </w:pPr>
      <w:r w:rsidRPr="008E6799">
        <w:rPr>
          <w:color w:val="000000" w:themeColor="text1"/>
        </w:rPr>
        <w:t>koszty ubezpieczeń rzeczowych i majątkowych (np. obowiązkowe ubezpieczenia OC pojazdów, ubezpieczenie OC prowadzonej działalności)</w:t>
      </w:r>
    </w:p>
    <w:p w14:paraId="7BDD8110" w14:textId="23D898C8" w:rsidR="00D4154B" w:rsidRPr="008E6799" w:rsidRDefault="00D4154B" w:rsidP="001E6AD2">
      <w:pPr>
        <w:pStyle w:val="Akapitzlist"/>
        <w:numPr>
          <w:ilvl w:val="0"/>
          <w:numId w:val="32"/>
        </w:numPr>
        <w:spacing w:after="120" w:line="240" w:lineRule="auto"/>
        <w:contextualSpacing w:val="0"/>
        <w:jc w:val="both"/>
        <w:rPr>
          <w:color w:val="000000" w:themeColor="text1"/>
        </w:rPr>
      </w:pPr>
      <w:r w:rsidRPr="008E6799">
        <w:rPr>
          <w:color w:val="000000" w:themeColor="text1"/>
        </w:rPr>
        <w:t>pozostałe przychody operacyjne</w:t>
      </w:r>
      <w:r w:rsidR="001E6AD2" w:rsidRPr="008E6799">
        <w:rPr>
          <w:color w:val="000000" w:themeColor="text1"/>
        </w:rPr>
        <w:t>;</w:t>
      </w:r>
    </w:p>
    <w:p w14:paraId="30FC6D37" w14:textId="09095AF3" w:rsidR="00524448" w:rsidRPr="008E6799" w:rsidRDefault="00524448" w:rsidP="008E6799">
      <w:pPr>
        <w:pStyle w:val="Akapitzlist"/>
        <w:numPr>
          <w:ilvl w:val="1"/>
          <w:numId w:val="32"/>
        </w:numPr>
        <w:spacing w:after="0" w:line="240" w:lineRule="auto"/>
        <w:ind w:left="1797" w:hanging="357"/>
        <w:contextualSpacing w:val="0"/>
        <w:jc w:val="both"/>
        <w:rPr>
          <w:color w:val="000000" w:themeColor="text1"/>
        </w:rPr>
      </w:pPr>
      <w:r w:rsidRPr="008E6799">
        <w:rPr>
          <w:color w:val="000000" w:themeColor="text1"/>
        </w:rPr>
        <w:t xml:space="preserve">przychody z tytułu otrzymanych odszkodowań z polis </w:t>
      </w:r>
      <w:r w:rsidR="004D7EE3">
        <w:rPr>
          <w:color w:val="000000" w:themeColor="text1"/>
        </w:rPr>
        <w:t>autocasco</w:t>
      </w:r>
    </w:p>
    <w:p w14:paraId="17F280EB" w14:textId="5A8AC0BC" w:rsidR="00524448" w:rsidRPr="008E6799" w:rsidRDefault="00524448" w:rsidP="00524448">
      <w:pPr>
        <w:pStyle w:val="Akapitzlist"/>
        <w:numPr>
          <w:ilvl w:val="1"/>
          <w:numId w:val="32"/>
        </w:numPr>
        <w:spacing w:after="120" w:line="240" w:lineRule="auto"/>
        <w:contextualSpacing w:val="0"/>
        <w:jc w:val="both"/>
        <w:rPr>
          <w:color w:val="000000" w:themeColor="text1"/>
        </w:rPr>
      </w:pPr>
      <w:r w:rsidRPr="008E6799">
        <w:rPr>
          <w:color w:val="000000" w:themeColor="text1"/>
        </w:rPr>
        <w:t>Inne przychody</w:t>
      </w:r>
    </w:p>
    <w:p w14:paraId="1810D772" w14:textId="41A11055" w:rsidR="006055C9" w:rsidRDefault="006055C9" w:rsidP="006055C9">
      <w:pPr>
        <w:pStyle w:val="Akapitzlist"/>
        <w:numPr>
          <w:ilvl w:val="0"/>
          <w:numId w:val="32"/>
        </w:numPr>
        <w:spacing w:after="120" w:line="240" w:lineRule="auto"/>
        <w:contextualSpacing w:val="0"/>
        <w:jc w:val="both"/>
        <w:rPr>
          <w:color w:val="000000" w:themeColor="text1"/>
        </w:rPr>
      </w:pPr>
      <w:r w:rsidRPr="008E6799">
        <w:rPr>
          <w:color w:val="000000" w:themeColor="text1"/>
        </w:rPr>
        <w:t>pozostałe koszty operacyjne</w:t>
      </w:r>
    </w:p>
    <w:p w14:paraId="5AFC6D3C" w14:textId="1EEDC80F" w:rsidR="00424218" w:rsidRPr="008E6799" w:rsidRDefault="00424218" w:rsidP="006055C9">
      <w:pPr>
        <w:pStyle w:val="Akapitzlist"/>
        <w:numPr>
          <w:ilvl w:val="0"/>
          <w:numId w:val="32"/>
        </w:numPr>
        <w:spacing w:after="120" w:line="240" w:lineRule="auto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wysokość straty </w:t>
      </w:r>
      <w:r>
        <w:rPr>
          <w:rFonts w:cstheme="minorHAnsi"/>
        </w:rPr>
        <w:t>z tytułu utraconych przychodów w związku ze stosowaniem ustawowych uprawnień do ulgowych przejazdów w publicznym transporcie zbiorowym.</w:t>
      </w:r>
    </w:p>
    <w:p w14:paraId="45F70BCA" w14:textId="7A683517" w:rsidR="008E6799" w:rsidRPr="008E6799" w:rsidRDefault="008E6799" w:rsidP="006055C9">
      <w:pPr>
        <w:pStyle w:val="Akapitzlist"/>
        <w:numPr>
          <w:ilvl w:val="0"/>
          <w:numId w:val="32"/>
        </w:numPr>
        <w:spacing w:after="120" w:line="240" w:lineRule="auto"/>
        <w:contextualSpacing w:val="0"/>
        <w:jc w:val="both"/>
        <w:rPr>
          <w:color w:val="000000" w:themeColor="text1"/>
        </w:rPr>
      </w:pPr>
      <w:r w:rsidRPr="008E6799">
        <w:rPr>
          <w:color w:val="000000" w:themeColor="text1"/>
        </w:rPr>
        <w:t>wskaźnik ryzyka realizacji umowy koncesji = 0,9</w:t>
      </w:r>
    </w:p>
    <w:p w14:paraId="5920ECEB" w14:textId="09342D60" w:rsidR="001B6EC1" w:rsidRPr="00424218" w:rsidRDefault="008E6799" w:rsidP="001B6EC1">
      <w:pPr>
        <w:pStyle w:val="Akapitzlist"/>
        <w:numPr>
          <w:ilvl w:val="0"/>
          <w:numId w:val="32"/>
        </w:numPr>
        <w:spacing w:after="120" w:line="240" w:lineRule="auto"/>
        <w:contextualSpacing w:val="0"/>
        <w:jc w:val="both"/>
        <w:rPr>
          <w:color w:val="000000" w:themeColor="text1"/>
        </w:rPr>
      </w:pPr>
      <w:r w:rsidRPr="00185275">
        <w:rPr>
          <w:color w:val="000000" w:themeColor="text1"/>
        </w:rPr>
        <w:t>wysokość rekompensaty</w:t>
      </w:r>
    </w:p>
    <w:sectPr w:rsidR="001B6EC1" w:rsidRPr="00424218" w:rsidSect="00424218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27AAD" w14:textId="77777777" w:rsidR="00372C88" w:rsidRDefault="00372C88" w:rsidP="00540847">
      <w:pPr>
        <w:spacing w:after="0" w:line="240" w:lineRule="auto"/>
      </w:pPr>
      <w:r>
        <w:separator/>
      </w:r>
    </w:p>
  </w:endnote>
  <w:endnote w:type="continuationSeparator" w:id="0">
    <w:p w14:paraId="183EFE5C" w14:textId="77777777" w:rsidR="00372C88" w:rsidRDefault="00372C88" w:rsidP="0054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CE706" w14:textId="77777777" w:rsidR="00372C88" w:rsidRDefault="00372C88" w:rsidP="00540847">
      <w:pPr>
        <w:spacing w:after="0" w:line="240" w:lineRule="auto"/>
      </w:pPr>
      <w:r>
        <w:separator/>
      </w:r>
    </w:p>
  </w:footnote>
  <w:footnote w:type="continuationSeparator" w:id="0">
    <w:p w14:paraId="46AAD1C4" w14:textId="77777777" w:rsidR="00372C88" w:rsidRDefault="00372C88" w:rsidP="00540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758F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4E27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55AD9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94C05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834F5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D60C5"/>
    <w:multiLevelType w:val="hybridMultilevel"/>
    <w:tmpl w:val="C65E87B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09F5AD9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E5BC1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73AB8"/>
    <w:multiLevelType w:val="hybridMultilevel"/>
    <w:tmpl w:val="B7526272"/>
    <w:lvl w:ilvl="0" w:tplc="7B6A26A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D3C7A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47546"/>
    <w:multiLevelType w:val="hybridMultilevel"/>
    <w:tmpl w:val="B80C51AA"/>
    <w:lvl w:ilvl="0" w:tplc="B3E02A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22D4E54"/>
    <w:multiLevelType w:val="hybridMultilevel"/>
    <w:tmpl w:val="CA1E7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858A9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211D9"/>
    <w:multiLevelType w:val="hybridMultilevel"/>
    <w:tmpl w:val="D714BA5A"/>
    <w:lvl w:ilvl="0" w:tplc="CC8CC6E6">
      <w:start w:val="1"/>
      <w:numFmt w:val="upperLetter"/>
      <w:lvlText w:val="%1 -"/>
      <w:lvlJc w:val="left"/>
      <w:pPr>
        <w:ind w:left="1080" w:hanging="360"/>
      </w:pPr>
      <w:rPr>
        <w:rFonts w:hint="default"/>
      </w:rPr>
    </w:lvl>
    <w:lvl w:ilvl="1" w:tplc="38E4F774">
      <w:start w:val="1"/>
      <w:numFmt w:val="lowerLetter"/>
      <w:lvlText w:val="%2 - 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3021FE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E2DAD"/>
    <w:multiLevelType w:val="hybridMultilevel"/>
    <w:tmpl w:val="EF566FE0"/>
    <w:lvl w:ilvl="0" w:tplc="05561B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53E92"/>
    <w:multiLevelType w:val="multilevel"/>
    <w:tmpl w:val="6CA20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ECF4D31"/>
    <w:multiLevelType w:val="hybridMultilevel"/>
    <w:tmpl w:val="4342D0A8"/>
    <w:lvl w:ilvl="0" w:tplc="1B6085B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87685"/>
    <w:multiLevelType w:val="hybridMultilevel"/>
    <w:tmpl w:val="A43E5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34AAB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D2AC1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72E64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C6EF0"/>
    <w:multiLevelType w:val="hybridMultilevel"/>
    <w:tmpl w:val="8DFC907C"/>
    <w:lvl w:ilvl="0" w:tplc="5B7AD3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423B8"/>
    <w:multiLevelType w:val="hybridMultilevel"/>
    <w:tmpl w:val="181AE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8032B"/>
    <w:multiLevelType w:val="hybridMultilevel"/>
    <w:tmpl w:val="1C961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531AF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22ED3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45860"/>
    <w:multiLevelType w:val="hybridMultilevel"/>
    <w:tmpl w:val="3B72DF86"/>
    <w:lvl w:ilvl="0" w:tplc="CD06F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92C3C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238FD"/>
    <w:multiLevelType w:val="hybridMultilevel"/>
    <w:tmpl w:val="2DBAAA3E"/>
    <w:lvl w:ilvl="0" w:tplc="B2BAFB3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C0D2E1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B379C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01117"/>
    <w:multiLevelType w:val="hybridMultilevel"/>
    <w:tmpl w:val="8D78A7DC"/>
    <w:lvl w:ilvl="0" w:tplc="0860C3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24"/>
  </w:num>
  <w:num w:numId="5">
    <w:abstractNumId w:val="2"/>
  </w:num>
  <w:num w:numId="6">
    <w:abstractNumId w:val="30"/>
  </w:num>
  <w:num w:numId="7">
    <w:abstractNumId w:val="1"/>
  </w:num>
  <w:num w:numId="8">
    <w:abstractNumId w:val="15"/>
  </w:num>
  <w:num w:numId="9">
    <w:abstractNumId w:val="27"/>
  </w:num>
  <w:num w:numId="10">
    <w:abstractNumId w:val="6"/>
  </w:num>
  <w:num w:numId="11">
    <w:abstractNumId w:val="28"/>
  </w:num>
  <w:num w:numId="12">
    <w:abstractNumId w:val="21"/>
  </w:num>
  <w:num w:numId="13">
    <w:abstractNumId w:val="19"/>
  </w:num>
  <w:num w:numId="14">
    <w:abstractNumId w:val="7"/>
  </w:num>
  <w:num w:numId="15">
    <w:abstractNumId w:val="14"/>
  </w:num>
  <w:num w:numId="16">
    <w:abstractNumId w:val="20"/>
  </w:num>
  <w:num w:numId="17">
    <w:abstractNumId w:val="9"/>
  </w:num>
  <w:num w:numId="18">
    <w:abstractNumId w:val="26"/>
  </w:num>
  <w:num w:numId="19">
    <w:abstractNumId w:val="25"/>
  </w:num>
  <w:num w:numId="20">
    <w:abstractNumId w:val="0"/>
  </w:num>
  <w:num w:numId="21">
    <w:abstractNumId w:val="12"/>
  </w:num>
  <w:num w:numId="22">
    <w:abstractNumId w:val="4"/>
  </w:num>
  <w:num w:numId="23">
    <w:abstractNumId w:val="23"/>
  </w:num>
  <w:num w:numId="24">
    <w:abstractNumId w:val="10"/>
  </w:num>
  <w:num w:numId="25">
    <w:abstractNumId w:val="22"/>
  </w:num>
  <w:num w:numId="26">
    <w:abstractNumId w:val="16"/>
  </w:num>
  <w:num w:numId="27">
    <w:abstractNumId w:val="31"/>
  </w:num>
  <w:num w:numId="28">
    <w:abstractNumId w:val="5"/>
  </w:num>
  <w:num w:numId="29">
    <w:abstractNumId w:val="29"/>
  </w:num>
  <w:num w:numId="30">
    <w:abstractNumId w:val="17"/>
  </w:num>
  <w:num w:numId="31">
    <w:abstractNumId w:val="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B02"/>
    <w:rsid w:val="0000210B"/>
    <w:rsid w:val="00007800"/>
    <w:rsid w:val="000333B4"/>
    <w:rsid w:val="00036156"/>
    <w:rsid w:val="0004116D"/>
    <w:rsid w:val="00050F47"/>
    <w:rsid w:val="000728C1"/>
    <w:rsid w:val="00080FDA"/>
    <w:rsid w:val="0009159F"/>
    <w:rsid w:val="000A30BC"/>
    <w:rsid w:val="000B1B75"/>
    <w:rsid w:val="000D3506"/>
    <w:rsid w:val="000F6B02"/>
    <w:rsid w:val="001171CA"/>
    <w:rsid w:val="001206CB"/>
    <w:rsid w:val="00126D7D"/>
    <w:rsid w:val="00153C2C"/>
    <w:rsid w:val="00180C00"/>
    <w:rsid w:val="00182968"/>
    <w:rsid w:val="0018414D"/>
    <w:rsid w:val="00185275"/>
    <w:rsid w:val="00187199"/>
    <w:rsid w:val="001B4904"/>
    <w:rsid w:val="001B5612"/>
    <w:rsid w:val="001B6EC1"/>
    <w:rsid w:val="001B7924"/>
    <w:rsid w:val="001B7B67"/>
    <w:rsid w:val="001C221D"/>
    <w:rsid w:val="001D6A40"/>
    <w:rsid w:val="001E11D9"/>
    <w:rsid w:val="001E6AD2"/>
    <w:rsid w:val="001F0CAD"/>
    <w:rsid w:val="00211AA8"/>
    <w:rsid w:val="00223ADA"/>
    <w:rsid w:val="00225F43"/>
    <w:rsid w:val="00256876"/>
    <w:rsid w:val="00256D74"/>
    <w:rsid w:val="00293B09"/>
    <w:rsid w:val="002A0AE1"/>
    <w:rsid w:val="002A4EFE"/>
    <w:rsid w:val="002C49CA"/>
    <w:rsid w:val="002D5990"/>
    <w:rsid w:val="00343CD5"/>
    <w:rsid w:val="00346DE4"/>
    <w:rsid w:val="003528E2"/>
    <w:rsid w:val="00356102"/>
    <w:rsid w:val="003607F4"/>
    <w:rsid w:val="00372C88"/>
    <w:rsid w:val="0038565E"/>
    <w:rsid w:val="003872F1"/>
    <w:rsid w:val="00390356"/>
    <w:rsid w:val="00391945"/>
    <w:rsid w:val="003A59CE"/>
    <w:rsid w:val="003A7B19"/>
    <w:rsid w:val="003D426F"/>
    <w:rsid w:val="00424218"/>
    <w:rsid w:val="004313EC"/>
    <w:rsid w:val="00447859"/>
    <w:rsid w:val="00447B27"/>
    <w:rsid w:val="00457D57"/>
    <w:rsid w:val="00466DBE"/>
    <w:rsid w:val="00471E4C"/>
    <w:rsid w:val="00483186"/>
    <w:rsid w:val="004845E0"/>
    <w:rsid w:val="004900EA"/>
    <w:rsid w:val="004919A2"/>
    <w:rsid w:val="004B26B8"/>
    <w:rsid w:val="004B3944"/>
    <w:rsid w:val="004C3A1C"/>
    <w:rsid w:val="004D103B"/>
    <w:rsid w:val="004D7EE3"/>
    <w:rsid w:val="00523FED"/>
    <w:rsid w:val="00524448"/>
    <w:rsid w:val="00540847"/>
    <w:rsid w:val="00546777"/>
    <w:rsid w:val="005501D8"/>
    <w:rsid w:val="005706C8"/>
    <w:rsid w:val="00576010"/>
    <w:rsid w:val="0058456A"/>
    <w:rsid w:val="00596F43"/>
    <w:rsid w:val="005B5A3A"/>
    <w:rsid w:val="005E4287"/>
    <w:rsid w:val="005E7F18"/>
    <w:rsid w:val="006023BC"/>
    <w:rsid w:val="006055C9"/>
    <w:rsid w:val="00613280"/>
    <w:rsid w:val="006208A9"/>
    <w:rsid w:val="00621F46"/>
    <w:rsid w:val="00623A4F"/>
    <w:rsid w:val="00631BDF"/>
    <w:rsid w:val="00632E58"/>
    <w:rsid w:val="0064127D"/>
    <w:rsid w:val="00644C42"/>
    <w:rsid w:val="006820B8"/>
    <w:rsid w:val="006A42FC"/>
    <w:rsid w:val="006A6D58"/>
    <w:rsid w:val="006B7E6F"/>
    <w:rsid w:val="006D3EF7"/>
    <w:rsid w:val="006D6E25"/>
    <w:rsid w:val="006E4EDE"/>
    <w:rsid w:val="006E7604"/>
    <w:rsid w:val="006F2036"/>
    <w:rsid w:val="006F7918"/>
    <w:rsid w:val="007220D0"/>
    <w:rsid w:val="00733332"/>
    <w:rsid w:val="00735E8F"/>
    <w:rsid w:val="007409B7"/>
    <w:rsid w:val="007459F2"/>
    <w:rsid w:val="0075069B"/>
    <w:rsid w:val="007514AB"/>
    <w:rsid w:val="00755A26"/>
    <w:rsid w:val="007567B5"/>
    <w:rsid w:val="007857F6"/>
    <w:rsid w:val="00796F20"/>
    <w:rsid w:val="007B1419"/>
    <w:rsid w:val="007C237E"/>
    <w:rsid w:val="007C4592"/>
    <w:rsid w:val="007E19E8"/>
    <w:rsid w:val="00803143"/>
    <w:rsid w:val="008173BF"/>
    <w:rsid w:val="00825C61"/>
    <w:rsid w:val="008424A1"/>
    <w:rsid w:val="00842C92"/>
    <w:rsid w:val="008509C1"/>
    <w:rsid w:val="00862B75"/>
    <w:rsid w:val="00862F25"/>
    <w:rsid w:val="0086614E"/>
    <w:rsid w:val="00877654"/>
    <w:rsid w:val="00884CEF"/>
    <w:rsid w:val="008C0E1F"/>
    <w:rsid w:val="008D0F8A"/>
    <w:rsid w:val="008E3C8F"/>
    <w:rsid w:val="008E6799"/>
    <w:rsid w:val="008F21AE"/>
    <w:rsid w:val="00903EA8"/>
    <w:rsid w:val="0092383D"/>
    <w:rsid w:val="009272EA"/>
    <w:rsid w:val="00970A38"/>
    <w:rsid w:val="009755C4"/>
    <w:rsid w:val="009818CD"/>
    <w:rsid w:val="0098561E"/>
    <w:rsid w:val="00994111"/>
    <w:rsid w:val="009A62C3"/>
    <w:rsid w:val="009C4F8D"/>
    <w:rsid w:val="009C6AC8"/>
    <w:rsid w:val="009D479D"/>
    <w:rsid w:val="00A05942"/>
    <w:rsid w:val="00A317C8"/>
    <w:rsid w:val="00A52FEC"/>
    <w:rsid w:val="00A5561C"/>
    <w:rsid w:val="00A56D98"/>
    <w:rsid w:val="00A82971"/>
    <w:rsid w:val="00A86D5C"/>
    <w:rsid w:val="00AA41D1"/>
    <w:rsid w:val="00AA4D75"/>
    <w:rsid w:val="00AE2CDA"/>
    <w:rsid w:val="00AE46B6"/>
    <w:rsid w:val="00B00421"/>
    <w:rsid w:val="00B268AB"/>
    <w:rsid w:val="00B3625D"/>
    <w:rsid w:val="00B71C3C"/>
    <w:rsid w:val="00B7262A"/>
    <w:rsid w:val="00B77858"/>
    <w:rsid w:val="00BA3388"/>
    <w:rsid w:val="00BA3CBA"/>
    <w:rsid w:val="00BE582B"/>
    <w:rsid w:val="00BF3E7D"/>
    <w:rsid w:val="00C1249C"/>
    <w:rsid w:val="00C26DD5"/>
    <w:rsid w:val="00C27606"/>
    <w:rsid w:val="00C36C4C"/>
    <w:rsid w:val="00C47278"/>
    <w:rsid w:val="00C47956"/>
    <w:rsid w:val="00C671C8"/>
    <w:rsid w:val="00C81671"/>
    <w:rsid w:val="00CA44A9"/>
    <w:rsid w:val="00CB56C5"/>
    <w:rsid w:val="00CC002E"/>
    <w:rsid w:val="00CD0AF0"/>
    <w:rsid w:val="00CD110D"/>
    <w:rsid w:val="00D14DE9"/>
    <w:rsid w:val="00D2280C"/>
    <w:rsid w:val="00D27905"/>
    <w:rsid w:val="00D4154B"/>
    <w:rsid w:val="00D508C2"/>
    <w:rsid w:val="00D621C7"/>
    <w:rsid w:val="00D65583"/>
    <w:rsid w:val="00D67F0E"/>
    <w:rsid w:val="00D721AD"/>
    <w:rsid w:val="00D83EF5"/>
    <w:rsid w:val="00D87597"/>
    <w:rsid w:val="00D900E0"/>
    <w:rsid w:val="00D95A6B"/>
    <w:rsid w:val="00DC169D"/>
    <w:rsid w:val="00DC20F8"/>
    <w:rsid w:val="00DD2FEF"/>
    <w:rsid w:val="00DE1343"/>
    <w:rsid w:val="00E03144"/>
    <w:rsid w:val="00E1104F"/>
    <w:rsid w:val="00E32275"/>
    <w:rsid w:val="00E477D0"/>
    <w:rsid w:val="00E709E0"/>
    <w:rsid w:val="00E85433"/>
    <w:rsid w:val="00EA1A0B"/>
    <w:rsid w:val="00EB195F"/>
    <w:rsid w:val="00ED1F88"/>
    <w:rsid w:val="00EE1AB9"/>
    <w:rsid w:val="00F06D19"/>
    <w:rsid w:val="00F2362A"/>
    <w:rsid w:val="00F6149F"/>
    <w:rsid w:val="00F62900"/>
    <w:rsid w:val="00F67A92"/>
    <w:rsid w:val="00F732D6"/>
    <w:rsid w:val="00F83417"/>
    <w:rsid w:val="00F85B6D"/>
    <w:rsid w:val="00FA3559"/>
    <w:rsid w:val="00FB2941"/>
    <w:rsid w:val="00FD73A1"/>
    <w:rsid w:val="00FE54B8"/>
    <w:rsid w:val="00FF06D0"/>
    <w:rsid w:val="00FF2FC6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9CCF3"/>
  <w15:docId w15:val="{9D8A66DB-5F3B-4989-8FBF-EA9BF718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A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35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35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55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08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0847"/>
    <w:rPr>
      <w:vertAlign w:val="superscript"/>
    </w:rPr>
  </w:style>
  <w:style w:type="table" w:styleId="Tabela-Siatka">
    <w:name w:val="Table Grid"/>
    <w:basedOn w:val="Standardowy"/>
    <w:uiPriority w:val="59"/>
    <w:rsid w:val="002A0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C95A2-756B-4AD2-B555-52F80F10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filip.stachowiec</dc:creator>
  <cp:lastModifiedBy>Filip Stachowiec</cp:lastModifiedBy>
  <cp:revision>132</cp:revision>
  <dcterms:created xsi:type="dcterms:W3CDTF">2017-08-02T12:05:00Z</dcterms:created>
  <dcterms:modified xsi:type="dcterms:W3CDTF">2019-09-16T10:06:00Z</dcterms:modified>
</cp:coreProperties>
</file>