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left="425" w:hanging="426"/>
        <w:jc w:val="both"/>
        <w:rPr>
          <w:b/>
          <w:b/>
        </w:rPr>
      </w:pPr>
      <w:r>
        <w:rPr>
          <w:b/>
        </w:rPr>
        <w:t>Załącznik nr 2 - Specyfikacja Istotnych Warunków Zamówienia/Opis przedmiotu zamówienia</w:t>
      </w:r>
    </w:p>
    <w:p>
      <w:pPr>
        <w:pStyle w:val="Normal"/>
        <w:spacing w:before="0" w:after="120"/>
        <w:ind w:left="425" w:hanging="426"/>
        <w:jc w:val="both"/>
        <w:rPr/>
      </w:pPr>
      <w:r>
        <w:rPr/>
      </w:r>
    </w:p>
    <w:p>
      <w:pPr>
        <w:pStyle w:val="ListParagraph"/>
        <w:numPr>
          <w:ilvl w:val="0"/>
          <w:numId w:val="1"/>
        </w:numPr>
        <w:spacing w:before="0" w:after="120"/>
        <w:ind w:left="425" w:hanging="426"/>
        <w:jc w:val="both"/>
        <w:rPr>
          <w:b/>
          <w:b/>
        </w:rPr>
      </w:pPr>
      <w:r>
        <w:rPr>
          <w:b/>
        </w:rPr>
        <w:t>Opis przedmiotu zamówienia.</w:t>
      </w:r>
    </w:p>
    <w:p>
      <w:pPr>
        <w:pStyle w:val="ListParagraph"/>
        <w:numPr>
          <w:ilvl w:val="1"/>
          <w:numId w:val="1"/>
        </w:numPr>
        <w:spacing w:before="0" w:after="120"/>
        <w:ind w:left="425" w:hanging="432"/>
        <w:jc w:val="both"/>
        <w:rPr>
          <w:color w:val="000000" w:themeColor="text1"/>
        </w:rPr>
      </w:pPr>
      <w:bookmarkStart w:id="0" w:name="_Ref18664444"/>
      <w:r>
        <w:rPr>
          <w:color w:val="000000" w:themeColor="text1"/>
        </w:rPr>
        <w:t xml:space="preserve">Zamówienie dotyczy świadczenia usługi publicznego transportu zbiorowego w powiatowych przewozach pasażerskich w ramach linii komunikacyjnej </w:t>
      </w:r>
      <w:bookmarkStart w:id="1" w:name="_Hlk18674511"/>
      <w:r>
        <w:rPr>
          <w:color w:val="000000" w:themeColor="text1"/>
        </w:rPr>
        <w:t xml:space="preserve">Szczawnica – Krościenko nad Dunajcem – Tylmanowa – Ochotnica Dolna – Ochotnica Górna – Knurów – Szlembark – Knurów – Harklowa – Łopuszna – Ostrowsko – Waksmund – Nowy Targ, określonej w rozdziale 8 pkt 8.1 </w:t>
      </w:r>
      <w:r>
        <w:rPr>
          <w:i/>
          <w:color w:val="000000" w:themeColor="text1"/>
        </w:rPr>
        <w:t>Planu zrównoważonego rozwoju publicznego transportu zbiorowego dla Powiatu Nowotarskiego</w:t>
      </w:r>
      <w:r>
        <w:rPr>
          <w:color w:val="000000" w:themeColor="text1"/>
        </w:rPr>
        <w:t xml:space="preserve">, uchwalonego mocą Uchwały Nr 145/XX/2016 Rady Powiatu Nowotarskiego z dnia 23 czerwca 2016 r. </w:t>
      </w:r>
      <w:r>
        <w:rPr>
          <w:i/>
          <w:color w:val="000000" w:themeColor="text1"/>
        </w:rPr>
        <w:t>w sprawie Planu zrównoważonego rozwoju publicznego transportu zbiorowego dla Powiatu Nowotarskiego</w:t>
      </w:r>
      <w:r>
        <w:rPr>
          <w:color w:val="000000" w:themeColor="text1"/>
        </w:rPr>
        <w:t xml:space="preserve"> (Dz. Urz. Woj. Małopolskiego z 2016 r. poz. 4254), zaktualizowanego mocą Uchwały Rady Powiatu Nowotarskiego z dnia 23 lutego 2017 r. </w:t>
      </w:r>
      <w:r>
        <w:rPr>
          <w:i/>
          <w:color w:val="000000" w:themeColor="text1"/>
        </w:rPr>
        <w:t>o aktualizacji Planu zrównoważonego rozwoju publicznego transportu zbiorowego dla Powiatu Nowotarskiego</w:t>
      </w:r>
      <w:r>
        <w:rPr>
          <w:color w:val="000000" w:themeColor="text1"/>
        </w:rPr>
        <w:t xml:space="preserve"> (Dz. Urz. Woj. Małopolskiego z 2017 r. poz. 1737)</w:t>
      </w:r>
      <w:bookmarkEnd w:id="0"/>
      <w:bookmarkEnd w:id="1"/>
      <w:r>
        <w:rPr>
          <w:color w:val="000000" w:themeColor="text1"/>
        </w:rPr>
        <w:t>.</w:t>
      </w:r>
    </w:p>
    <w:p>
      <w:pPr>
        <w:pStyle w:val="ListParagraph"/>
        <w:numPr>
          <w:ilvl w:val="2"/>
          <w:numId w:val="1"/>
        </w:numPr>
        <w:spacing w:before="0" w:after="120"/>
        <w:ind w:left="567" w:hanging="567"/>
        <w:jc w:val="both"/>
        <w:rPr>
          <w:color w:val="0D0D0D" w:themeColor="text1" w:themeTint="f2"/>
        </w:rPr>
      </w:pPr>
      <w:r>
        <w:rPr>
          <w:color w:val="000000" w:themeColor="text1"/>
        </w:rPr>
        <w:t>Przedmiotem zamówienia jest</w:t>
      </w:r>
      <w:bookmarkStart w:id="2" w:name="_Ref491772655"/>
      <w:r>
        <w:rPr>
          <w:color w:val="000000" w:themeColor="text1"/>
        </w:rPr>
        <w:t xml:space="preserve"> koncesja na wykonanie usługi publicznego transportu zbiorowego w powiatowych przewozach pasażerskich na terenie Powiatu Nowotarskiego, </w:t>
        <w:br/>
        <w:t>w wielkości pracy ek</w:t>
      </w:r>
      <w:r>
        <w:rPr>
          <w:color w:val="0D0D0D" w:themeColor="text1" w:themeTint="f2"/>
        </w:rPr>
        <w:t>sploatacyjnej wynoszącej 38 502 wozokilometry</w:t>
      </w:r>
      <w:bookmarkEnd w:id="2"/>
      <w:r>
        <w:rPr>
          <w:color w:val="0D0D0D" w:themeColor="text1" w:themeTint="f2"/>
        </w:rPr>
        <w:t>, w ramach linii komunikacyjnej określonej w punkcie 1.1, w przebiegu obejmującym miejscowości Tylmanowa – Ochotnica Dolna – Ochotnica Górna – Knurów – Harklowa – Łopuszna – Ostrowsko – Waksmund – Nowy Targ.</w:t>
      </w:r>
    </w:p>
    <w:p>
      <w:pPr>
        <w:pStyle w:val="ListParagraph"/>
        <w:numPr>
          <w:ilvl w:val="2"/>
          <w:numId w:val="1"/>
        </w:numPr>
        <w:spacing w:before="0" w:after="120"/>
        <w:ind w:left="567" w:hanging="567"/>
        <w:jc w:val="both"/>
        <w:rPr/>
      </w:pPr>
      <w:r>
        <w:rPr>
          <w:color w:val="0D0D0D" w:themeColor="text1" w:themeTint="f2"/>
        </w:rPr>
        <w:t xml:space="preserve">Wykonanie usługi, o której mowa w punkcie 1.1.1, </w:t>
      </w:r>
      <w:r>
        <w:rPr/>
        <w:t>nastąpi zgodnie z:</w:t>
      </w:r>
    </w:p>
    <w:p>
      <w:pPr>
        <w:pStyle w:val="ListParagraph"/>
        <w:numPr>
          <w:ilvl w:val="3"/>
          <w:numId w:val="1"/>
        </w:numPr>
        <w:spacing w:before="0" w:after="0"/>
        <w:ind w:left="851" w:hanging="851"/>
        <w:jc w:val="both"/>
        <w:rPr/>
      </w:pPr>
      <w:r>
        <w:rPr/>
        <w:t xml:space="preserve">wymaganymi warunkami technicznymi oraz parametrami techniczno –użytkowymi autobusów, które określa załącznik </w:t>
      </w:r>
      <w:r>
        <w:rPr>
          <w:color w:val="000000" w:themeColor="text1"/>
        </w:rPr>
        <w:t>nr 3</w:t>
      </w:r>
      <w:r>
        <w:rPr/>
        <w:t xml:space="preserve"> do wzoru umowy koncesji, określonego w załączniku do SIWZ.</w:t>
      </w:r>
    </w:p>
    <w:p>
      <w:pPr>
        <w:pStyle w:val="ListParagraph"/>
        <w:numPr>
          <w:ilvl w:val="3"/>
          <w:numId w:val="1"/>
        </w:numPr>
        <w:spacing w:before="0" w:after="0"/>
        <w:ind w:left="851" w:hanging="851"/>
        <w:jc w:val="both"/>
        <w:rPr/>
      </w:pPr>
      <w:r>
        <w:rPr/>
        <w:t xml:space="preserve">charakterystyką usług przewozowych, którą określa załącznik </w:t>
      </w:r>
      <w:r>
        <w:rPr>
          <w:color w:val="000000" w:themeColor="text1"/>
        </w:rPr>
        <w:t xml:space="preserve">nr 1 </w:t>
      </w:r>
      <w:r>
        <w:rPr/>
        <w:t>do wzoru umowy koncesji, określonego w załączniku do SIWZ.</w:t>
      </w:r>
    </w:p>
    <w:p>
      <w:pPr>
        <w:pStyle w:val="ListParagraph"/>
        <w:numPr>
          <w:ilvl w:val="3"/>
          <w:numId w:val="1"/>
        </w:numPr>
        <w:spacing w:before="0" w:after="120"/>
        <w:ind w:left="851" w:hanging="851"/>
        <w:jc w:val="both"/>
        <w:rPr/>
      </w:pPr>
      <w:r>
        <w:rPr/>
        <w:t xml:space="preserve">wymaganiami w zakresie jakości usług przewozowych, które określa załącznik </w:t>
      </w:r>
      <w:r>
        <w:rPr>
          <w:color w:val="000000" w:themeColor="text1"/>
        </w:rPr>
        <w:t>nr 2</w:t>
      </w:r>
      <w:r>
        <w:rPr/>
        <w:t xml:space="preserve"> do wzoru umowy koncesji, określonego w załączniku do SIWZ.</w:t>
      </w:r>
    </w:p>
    <w:p>
      <w:pPr>
        <w:pStyle w:val="ListParagraph"/>
        <w:numPr>
          <w:ilvl w:val="1"/>
          <w:numId w:val="1"/>
        </w:numPr>
        <w:spacing w:before="0" w:after="120"/>
        <w:ind w:left="426" w:hanging="426"/>
        <w:jc w:val="both"/>
        <w:rPr>
          <w:b/>
          <w:b/>
          <w:color w:val="000000" w:themeColor="text1"/>
        </w:rPr>
      </w:pPr>
      <w:r>
        <w:rPr>
          <w:b/>
          <w:color w:val="000000" w:themeColor="text1"/>
        </w:rPr>
        <w:t>Wspólny słownik zamówień:</w:t>
      </w:r>
    </w:p>
    <w:p>
      <w:pPr>
        <w:pStyle w:val="ListParagraph"/>
        <w:spacing w:before="0" w:after="120"/>
        <w:ind w:left="426" w:hanging="0"/>
        <w:jc w:val="both"/>
        <w:rPr>
          <w:color w:val="000000" w:themeColor="text1"/>
        </w:rPr>
      </w:pPr>
      <w:r>
        <w:rPr>
          <w:color w:val="000000" w:themeColor="text1"/>
        </w:rPr>
        <w:t>60112000-6 – Usługi w zakresie publicznego transportu drogowego.</w:t>
      </w:r>
    </w:p>
    <w:p>
      <w:pPr>
        <w:pStyle w:val="ListParagraph"/>
        <w:numPr>
          <w:ilvl w:val="0"/>
          <w:numId w:val="1"/>
        </w:numPr>
        <w:spacing w:before="0" w:after="120"/>
        <w:ind w:left="425" w:hanging="426"/>
        <w:jc w:val="both"/>
        <w:rPr>
          <w:b/>
          <w:b/>
        </w:rPr>
      </w:pPr>
      <w:r>
        <w:rPr>
          <w:b/>
        </w:rPr>
        <w:t>Wartość zamówienia.</w:t>
      </w:r>
    </w:p>
    <w:p>
      <w:pPr>
        <w:pStyle w:val="ListParagraph"/>
        <w:spacing w:before="0" w:after="120"/>
        <w:ind w:left="425" w:hanging="0"/>
        <w:jc w:val="both"/>
        <w:rPr/>
      </w:pPr>
      <w:r>
        <w:rPr/>
        <w:t>Wartość przedmiotowej koncesji oszacowano na 96 255,00 PLN.</w:t>
      </w:r>
    </w:p>
    <w:p>
      <w:pPr>
        <w:pStyle w:val="ListParagraph"/>
        <w:numPr>
          <w:ilvl w:val="0"/>
          <w:numId w:val="1"/>
        </w:numPr>
        <w:spacing w:before="0" w:after="120"/>
        <w:ind w:left="425" w:hanging="426"/>
        <w:jc w:val="both"/>
        <w:rPr>
          <w:b/>
          <w:b/>
        </w:rPr>
      </w:pPr>
      <w:r>
        <w:rPr>
          <w:b/>
        </w:rPr>
        <w:t>Wynagrodzenie.</w:t>
      </w:r>
    </w:p>
    <w:p>
      <w:pPr>
        <w:pStyle w:val="ListParagraph"/>
        <w:spacing w:before="0" w:after="120"/>
        <w:ind w:left="425" w:hanging="0"/>
        <w:jc w:val="both"/>
        <w:rPr/>
      </w:pPr>
      <w:r>
        <w:rPr/>
        <w:t xml:space="preserve">Za wykonanie przedmiotu koncesji przysługuje wynagrodzenie w postaci prawa do wykonywania usługi publicznego transportu zbiorowego, na linii komunikacyjnej obejmującej miejscowości </w:t>
      </w:r>
      <w:r>
        <w:rPr>
          <w:color w:val="000000" w:themeColor="text1"/>
        </w:rPr>
        <w:t>Tylmanowa – Ochotnica Dolna – Ochotnica Górna – Knurów – Harklowa – Łopuszna – Ostrowsko – Waksmund – Nowy Targ, w tym pobierania pożytków za sprzedaż biletów i opłat dodatkowych oraz prawo do rekompensaty z tytułu poniesionych kosztów w związku ze świadczeniem przedmiotowej usługi. Rekompensata przysługiwać będzie do deficytu wygenerowanego w ramach wykonywania przedmiotowej usługi w kwocie nie wyższej niż 1,50 PLN za jeden wozokilometr. Zgodnie z art. 50 ust. 2 ustawy z dnia 16 grudnia 2010 r. o publicznym transporcie zbiorowym (tekst jedn. Dz. U. z 2018 r. poz. 2016, z późn. zm.) rekompensata nie może pokryć całości poniesionych kosztów.</w:t>
      </w:r>
    </w:p>
    <w:p>
      <w:pPr>
        <w:pStyle w:val="ListParagraph"/>
        <w:numPr>
          <w:ilvl w:val="0"/>
          <w:numId w:val="1"/>
        </w:numPr>
        <w:spacing w:before="0" w:after="120"/>
        <w:ind w:left="425" w:hanging="426"/>
        <w:jc w:val="both"/>
        <w:rPr>
          <w:b/>
          <w:b/>
        </w:rPr>
      </w:pPr>
      <w:r>
        <w:rPr>
          <w:b/>
        </w:rPr>
        <w:t>Realizacja zamówienia.</w:t>
      </w:r>
    </w:p>
    <w:p>
      <w:pPr>
        <w:pStyle w:val="ListParagraph"/>
        <w:spacing w:before="0" w:after="120"/>
        <w:ind w:left="425" w:hanging="0"/>
        <w:jc w:val="both"/>
        <w:rPr>
          <w:color w:val="000000" w:themeColor="text1"/>
        </w:rPr>
      </w:pPr>
      <w:r>
        <w:rPr>
          <w:color w:val="000000" w:themeColor="text1"/>
        </w:rPr>
        <w:t>Termin realizacji zamówienia obejmie okres od 01.10.2019 r. do 31.12.2019 r.</w:t>
      </w:r>
    </w:p>
    <w:p>
      <w:pPr>
        <w:pStyle w:val="ListParagraph"/>
        <w:numPr>
          <w:ilvl w:val="0"/>
          <w:numId w:val="1"/>
        </w:numPr>
        <w:spacing w:before="0" w:after="120"/>
        <w:jc w:val="both"/>
        <w:rPr>
          <w:b/>
          <w:b/>
        </w:rPr>
      </w:pPr>
      <w:r>
        <w:rPr>
          <w:b/>
        </w:rPr>
        <w:t>Warunki dotyczące zdolności technicznej i zawodowej.</w:t>
      </w:r>
    </w:p>
    <w:p>
      <w:pPr>
        <w:pStyle w:val="ListParagraph"/>
        <w:numPr>
          <w:ilvl w:val="1"/>
          <w:numId w:val="1"/>
        </w:numPr>
        <w:spacing w:before="0" w:after="120"/>
        <w:ind w:left="425" w:hanging="432"/>
        <w:jc w:val="both"/>
        <w:rPr>
          <w:color w:val="000000" w:themeColor="text1"/>
        </w:rPr>
      </w:pPr>
      <w:r>
        <w:rPr>
          <w:color w:val="000000" w:themeColor="text1"/>
        </w:rPr>
        <w:t>Na dzień rozpoczęcia wykonania usługi Wykonawca dysponuje co najmniej 3 (trzema) autobusami, spełniającymi warunki techniczne oraz parametry techniczno– użytkowe, określone w załączniku nr 3 do wzoru umowy koncesji</w:t>
      </w:r>
    </w:p>
    <w:p>
      <w:pPr>
        <w:pStyle w:val="ListParagraph"/>
        <w:numPr>
          <w:ilvl w:val="1"/>
          <w:numId w:val="1"/>
        </w:numPr>
        <w:spacing w:before="0" w:after="120"/>
        <w:ind w:left="425" w:hanging="432"/>
        <w:jc w:val="both"/>
        <w:rPr>
          <w:color w:val="000000" w:themeColor="text1"/>
        </w:rPr>
      </w:pPr>
      <w:r>
        <w:rPr>
          <w:color w:val="000000" w:themeColor="text1"/>
        </w:rPr>
        <w:t>Na dzień rozpoczęcia wykonania usługi Wykonawca dysponuje kierowcami (wliczając Wykonawcę osobiście wykonującego przewozy), którzy będą realizowali zadanie</w:t>
      </w:r>
      <w:r>
        <w:rPr/>
        <w:t>.</w:t>
      </w:r>
    </w:p>
    <w:p>
      <w:pPr>
        <w:pStyle w:val="ListParagraph"/>
        <w:numPr>
          <w:ilvl w:val="1"/>
          <w:numId w:val="1"/>
        </w:numPr>
        <w:spacing w:before="0" w:after="120"/>
        <w:ind w:left="425" w:hanging="432"/>
        <w:jc w:val="both"/>
        <w:rPr/>
      </w:pPr>
      <w:r>
        <w:rPr>
          <w:color w:val="000000" w:themeColor="text1"/>
        </w:rPr>
        <w:t>Wszyscy</w:t>
      </w:r>
      <w:r>
        <w:rPr/>
        <w:t xml:space="preserve"> zatrudnieni przez Wykonawcę lub współpracujący z wykonawcą kierowcy oraz sam Wykonawca, jeżeli osobiście wykonuje przewozy, w okresie wykonywania usługi spełniają wymogi dotyczące uprawnień do kierowania pojazdami, do których kierowania wymagane jest prawo jazdy kategorii D oraz kwalifikacji zawodowych w zakresie kategorii D prawa jazdy, określone w rozdziale 7a ustawy </w:t>
      </w:r>
      <w:r>
        <w:rPr>
          <w:i/>
        </w:rPr>
        <w:t>o transporcie drogowym</w:t>
      </w:r>
      <w:r>
        <w:rPr/>
        <w:t>.</w:t>
      </w:r>
    </w:p>
    <w:p>
      <w:pPr>
        <w:pStyle w:val="ListParagraph"/>
        <w:spacing w:before="0" w:after="200"/>
        <w:ind w:left="426" w:hanging="0"/>
        <w:jc w:val="both"/>
        <w:rPr>
          <w:color w:val="000000" w:themeColor="text1"/>
        </w:rPr>
      </w:pPr>
      <w:r>
        <w:rPr>
          <w:color w:val="000000" w:themeColor="text1"/>
        </w:rPr>
        <w:t>W przypadku wspólnego ubiegania się przez kilka podmiotów o zawarcie umowy koncesji, wyżej wymienione wymagania dotyczące zdolności technicznej i zawodowej, niezbędne do wykonania usługi stosuje się łącznie wobec wszystkich podmiotów.</w:t>
      </w:r>
    </w:p>
    <w:p>
      <w:pPr>
        <w:pStyle w:val="ListParagraph"/>
        <w:numPr>
          <w:ilvl w:val="0"/>
          <w:numId w:val="1"/>
        </w:numPr>
        <w:spacing w:before="0" w:after="120"/>
        <w:jc w:val="both"/>
        <w:rPr>
          <w:b/>
          <w:b/>
          <w:color w:val="000000" w:themeColor="text1"/>
        </w:rPr>
      </w:pPr>
      <w:r>
        <w:rPr>
          <w:b/>
          <w:color w:val="000000" w:themeColor="text1"/>
        </w:rPr>
        <w:t>Warunki dotyczące sytuacji ekonomicznej i finansowej zapewniającej wykonanie usługi.</w:t>
      </w:r>
    </w:p>
    <w:p>
      <w:pPr>
        <w:pStyle w:val="ListParagraph"/>
        <w:numPr>
          <w:ilvl w:val="1"/>
          <w:numId w:val="1"/>
        </w:numPr>
        <w:spacing w:before="0" w:after="120"/>
        <w:ind w:left="425" w:hanging="432"/>
        <w:jc w:val="both"/>
        <w:rPr>
          <w:color w:val="000000" w:themeColor="text1"/>
        </w:rPr>
      </w:pPr>
      <w:r>
        <w:rPr>
          <w:color w:val="000000" w:themeColor="text1"/>
        </w:rPr>
        <w:t>W okresie wykonania usługi Wykonawca posiada ubezpieczenie od odpowiedzialności cywilnej w zakresie prowadz</w:t>
      </w:r>
      <w:bookmarkStart w:id="3" w:name="_GoBack"/>
      <w:bookmarkEnd w:id="3"/>
      <w:r>
        <w:rPr>
          <w:color w:val="000000" w:themeColor="text1"/>
        </w:rPr>
        <w:t>onej działalności, obejmującej przedmiotową usługę, na kwotę nie mniejszą niż 100 000,00 PLN (słownie sto tysięcy złotych 00/100).</w:t>
      </w:r>
    </w:p>
    <w:p>
      <w:pPr>
        <w:pStyle w:val="ListParagraph"/>
        <w:spacing w:before="0" w:after="200"/>
        <w:ind w:left="426" w:hanging="0"/>
        <w:jc w:val="both"/>
        <w:rPr>
          <w:color w:val="000000" w:themeColor="text1"/>
        </w:rPr>
      </w:pPr>
      <w:r>
        <w:rPr>
          <w:color w:val="000000" w:themeColor="text1"/>
        </w:rPr>
        <w:t>W przypadku wspólnego ubiegania się przez kilka podmiotów o zawarcie umowy koncesji, wyżej wymienione wymagania dotyczące zdolności technicznej i zawodowej, niezbędne do wykonania usługi stosuje się łącznie wobec wszystkich podmiotów.</w:t>
      </w:r>
    </w:p>
    <w:p>
      <w:pPr>
        <w:pStyle w:val="ListParagraph"/>
        <w:spacing w:before="0" w:after="200"/>
        <w:ind w:left="426" w:hanging="0"/>
        <w:jc w:val="both"/>
        <w:rPr>
          <w:color w:val="000000" w:themeColor="text1"/>
        </w:rPr>
      </w:pPr>
      <w:r>
        <w:rPr>
          <w:color w:val="000000" w:themeColor="text1"/>
        </w:rPr>
        <w:t>W przypadku złożenia przez Wykonawcę (Wykonawców) dokumentów zawierających dane wyrażone w walucie innej niż PLN, Zamawiający, jako kurs przeliczeniowy waluty przyjmie średni kurs NBP obowiązujący w dniu sporządzenia niniejszego zamówienia.</w:t>
      </w:r>
    </w:p>
    <w:p>
      <w:pPr>
        <w:pStyle w:val="ListParagraph"/>
        <w:numPr>
          <w:ilvl w:val="0"/>
          <w:numId w:val="1"/>
        </w:numPr>
        <w:spacing w:before="0" w:after="120"/>
        <w:jc w:val="both"/>
        <w:rPr>
          <w:b/>
          <w:b/>
          <w:color w:val="000000" w:themeColor="text1"/>
        </w:rPr>
      </w:pPr>
      <w:r>
        <w:rPr>
          <w:b/>
          <w:color w:val="000000" w:themeColor="text1"/>
        </w:rPr>
        <w:t>Warunki dotyczące uprawnień do wykonywania działalności zawodowej stanowiącej przedmiot zamówienia.</w:t>
      </w:r>
    </w:p>
    <w:p>
      <w:pPr>
        <w:pStyle w:val="ListParagraph"/>
        <w:numPr>
          <w:ilvl w:val="1"/>
          <w:numId w:val="1"/>
        </w:numPr>
        <w:spacing w:before="0" w:after="120"/>
        <w:ind w:left="425" w:hanging="432"/>
        <w:jc w:val="both"/>
        <w:rPr>
          <w:color w:val="000000" w:themeColor="text1"/>
        </w:rPr>
      </w:pPr>
      <w:r>
        <w:rPr>
          <w:color w:val="000000" w:themeColor="text1"/>
        </w:rPr>
        <w:t xml:space="preserve">W okresie wykonywania usługi Wykonawca posiada ważne zezwolenie na wykonywanie zawodu przewoźnika drogowego w zakresie krajowego przewozu osób lub ważną licencję na wykonywanie krajowego transportu drogowego osób, lub ważną licencję na wykonywanie międzynarodowego zarobkowego przewozu osób autokarem lub autobusem, lub ważną licencję wspólnotową, wydaną na podstawie art. 4 ust. 1 albo art. 5 ust. 2 ustawy z dnia 14 listopada 2003 r. </w:t>
      </w:r>
      <w:r>
        <w:rPr>
          <w:i/>
          <w:color w:val="000000" w:themeColor="text1"/>
        </w:rPr>
        <w:t>o zmianie ustawy o transporcie drogowym</w:t>
      </w:r>
      <w:r>
        <w:rPr>
          <w:color w:val="000000" w:themeColor="text1"/>
        </w:rPr>
        <w:t xml:space="preserve"> (Dz. U. z 2003 r. Nr 211, poz. 2050, z późn. zm.).</w:t>
      </w:r>
    </w:p>
    <w:p>
      <w:pPr>
        <w:pStyle w:val="ListParagraph"/>
        <w:spacing w:before="0" w:after="200"/>
        <w:ind w:left="426" w:hanging="0"/>
        <w:jc w:val="both"/>
        <w:rPr>
          <w:b/>
          <w:b/>
          <w:color w:val="000000" w:themeColor="text1"/>
        </w:rPr>
      </w:pPr>
      <w:r>
        <w:rPr>
          <w:color w:val="000000" w:themeColor="text1"/>
        </w:rPr>
        <w:t>W przypadku wspólnego ubiegania się przez kilka podmiotów o zawarcie umowy koncesji, wymóg dotyczący uprawnień do wykonywania działalności zawodowej stanowiącej przedmiot zamówienia dotyczy każdego z podmiotów.</w:t>
      </w:r>
    </w:p>
    <w:p>
      <w:pPr>
        <w:pStyle w:val="ListParagraph"/>
        <w:numPr>
          <w:ilvl w:val="0"/>
          <w:numId w:val="1"/>
        </w:numPr>
        <w:tabs>
          <w:tab w:val="clear" w:pos="708"/>
          <w:tab w:val="left" w:pos="567" w:leader="none"/>
        </w:tabs>
        <w:spacing w:before="0" w:after="120"/>
        <w:jc w:val="both"/>
        <w:rPr>
          <w:b/>
          <w:b/>
        </w:rPr>
      </w:pPr>
      <w:r>
        <w:rPr>
          <w:b/>
        </w:rPr>
        <w:t>Wykaz dokumentów, potwierdzających spełnianie warunków udziału w postępowaniu oraz brak podstaw wykluczenia.</w:t>
      </w:r>
    </w:p>
    <w:p>
      <w:pPr>
        <w:pStyle w:val="ListParagraph"/>
        <w:numPr>
          <w:ilvl w:val="1"/>
          <w:numId w:val="1"/>
        </w:numPr>
        <w:tabs>
          <w:tab w:val="clear" w:pos="708"/>
          <w:tab w:val="left" w:pos="567" w:leader="none"/>
        </w:tabs>
        <w:spacing w:before="0" w:after="120"/>
        <w:ind w:left="426" w:hanging="432"/>
        <w:jc w:val="both"/>
        <w:rPr>
          <w:color w:val="000000" w:themeColor="text1"/>
        </w:rPr>
      </w:pPr>
      <w:r>
        <w:rPr>
          <w:color w:val="000000" w:themeColor="text1"/>
        </w:rPr>
        <w:t xml:space="preserve">Kopia zezwolenia na wykonywanie zawodu przewoźnika drogowego w zakresie krajowego przewozu osób lub licencji na wykonywanie krajowego transportu drogowego osób, lub licencji na wykonywanie międzynarodowego zarobkowego przewozu osób autokarem lub autobusem, lub licencji wspólnotowej, wydanej na podstawie art. 4 ust. 1 albo art. 5 ust. 2 ustawy z dnia 14 listopada 2003 r. </w:t>
      </w:r>
      <w:r>
        <w:rPr>
          <w:i/>
          <w:color w:val="000000" w:themeColor="text1"/>
        </w:rPr>
        <w:t>o zmianie ustawy o transporcie drogowym</w:t>
      </w:r>
      <w:r>
        <w:rPr>
          <w:color w:val="000000" w:themeColor="text1"/>
        </w:rPr>
        <w:t xml:space="preserve"> (Dz. U. z 2003 r. Nr 211, poz. 2050, z późn. zm.).</w:t>
      </w:r>
    </w:p>
    <w:p>
      <w:pPr>
        <w:pStyle w:val="ListParagraph"/>
        <w:numPr>
          <w:ilvl w:val="0"/>
          <w:numId w:val="1"/>
        </w:numPr>
        <w:tabs>
          <w:tab w:val="clear" w:pos="708"/>
          <w:tab w:val="left" w:pos="567" w:leader="none"/>
        </w:tabs>
        <w:spacing w:before="0" w:after="120"/>
        <w:jc w:val="both"/>
        <w:rPr>
          <w:b/>
          <w:b/>
          <w:color w:val="000000" w:themeColor="text1"/>
        </w:rPr>
      </w:pPr>
      <w:r>
        <w:rPr>
          <w:b/>
          <w:color w:val="000000" w:themeColor="text1"/>
        </w:rPr>
        <w:t>Opis sposobu obliczania ceny.</w:t>
      </w:r>
    </w:p>
    <w:p>
      <w:pPr>
        <w:pStyle w:val="ListParagraph"/>
        <w:numPr>
          <w:ilvl w:val="1"/>
          <w:numId w:val="1"/>
        </w:numPr>
        <w:tabs>
          <w:tab w:val="clear" w:pos="708"/>
          <w:tab w:val="left" w:pos="567" w:leader="none"/>
        </w:tabs>
        <w:spacing w:before="0" w:after="120"/>
        <w:ind w:left="426" w:hanging="432"/>
        <w:jc w:val="both"/>
        <w:rPr>
          <w:color w:val="000000" w:themeColor="text1"/>
        </w:rPr>
      </w:pPr>
      <w:r>
        <w:rPr>
          <w:color w:val="000000" w:themeColor="text1"/>
        </w:rPr>
        <w:t>Cenę usługi stanowi maksymalna kwota deficytu w odniesieniu do jednego wozokilometra, o którą będzie wnioskował wykonawca. Cena usługi musi zawierać się w przedziale od 0,00 do 1,50 PLN. Oferta zawierająca cenę spoza wyznaczonego przedziału zostanie odrzucona.</w:t>
      </w:r>
    </w:p>
    <w:p>
      <w:pPr>
        <w:pStyle w:val="ListParagraph"/>
        <w:numPr>
          <w:ilvl w:val="0"/>
          <w:numId w:val="1"/>
        </w:numPr>
        <w:tabs>
          <w:tab w:val="clear" w:pos="708"/>
          <w:tab w:val="left" w:pos="567" w:leader="none"/>
        </w:tabs>
        <w:spacing w:before="0" w:after="120"/>
        <w:jc w:val="both"/>
        <w:rPr>
          <w:b/>
          <w:b/>
          <w:color w:val="000000" w:themeColor="text1"/>
        </w:rPr>
      </w:pPr>
      <w:r>
        <w:rPr>
          <w:b/>
          <w:color w:val="000000" w:themeColor="text1"/>
        </w:rPr>
        <w:t>Opis kryteriów, którymi Zamawiający będzie się kierował przy wyborze oferty, wraz z podaniem wag tych kryteriów i sposobu oceny ofert.</w:t>
      </w:r>
    </w:p>
    <w:p>
      <w:pPr>
        <w:pStyle w:val="ListParagraph"/>
        <w:numPr>
          <w:ilvl w:val="1"/>
          <w:numId w:val="1"/>
        </w:numPr>
        <w:tabs>
          <w:tab w:val="clear" w:pos="708"/>
          <w:tab w:val="left" w:pos="567" w:leader="none"/>
        </w:tabs>
        <w:spacing w:before="0" w:after="120"/>
        <w:ind w:left="851" w:hanging="491"/>
        <w:jc w:val="both"/>
        <w:rPr>
          <w:color w:val="000000" w:themeColor="text1"/>
        </w:rPr>
      </w:pPr>
      <w:r>
        <w:rPr>
          <w:color w:val="000000" w:themeColor="text1"/>
        </w:rPr>
        <w:t>Cena – maksymalnie 55 punktów.</w:t>
      </w:r>
    </w:p>
    <w:p>
      <w:pPr>
        <w:pStyle w:val="ListParagraph"/>
        <w:tabs>
          <w:tab w:val="clear" w:pos="708"/>
          <w:tab w:val="left" w:pos="567" w:leader="none"/>
        </w:tabs>
        <w:spacing w:before="0" w:after="120"/>
        <w:ind w:left="851" w:hanging="0"/>
        <w:jc w:val="both"/>
        <w:rPr>
          <w:color w:val="000000" w:themeColor="text1"/>
        </w:rPr>
      </w:pPr>
      <w:r>
        <w:rPr>
          <w:color w:val="000000" w:themeColor="text1"/>
        </w:rPr>
        <w:t>Maksymalną liczbę punktów w tym kryterium otrzyma oferta z najniższą ceną. Ilość punktów przyznana ofercie w tym kryterium zostanie przeliczona zgodnie ze wzorem:</w:t>
      </w:r>
    </w:p>
    <w:p>
      <w:pPr>
        <w:pStyle w:val="ListParagraph"/>
        <w:tabs>
          <w:tab w:val="clear" w:pos="708"/>
          <w:tab w:val="left" w:pos="567" w:leader="none"/>
        </w:tabs>
        <w:spacing w:before="0" w:after="120"/>
        <w:ind w:left="851" w:hanging="0"/>
        <w:jc w:val="both"/>
        <w:rPr>
          <w:color w:val="000000" w:themeColor="text1"/>
        </w:rPr>
      </w:pPr>
      <w:r>
        <w:rPr>
          <w:b/>
          <w:color w:val="000000" w:themeColor="text1"/>
        </w:rPr>
        <w:t>C</w:t>
      </w:r>
      <w:r>
        <w:rPr>
          <w:color w:val="000000" w:themeColor="text1"/>
        </w:rPr>
        <w:t xml:space="preserve"> = </w:t>
      </w:r>
      <w:r>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spośród</m:t>
            </m:r>
            <m:r>
              <w:rPr>
                <w:rFonts w:ascii="Cambria Math" w:hAnsi="Cambria Math"/>
              </w:rPr>
              <m:t xml:space="preserve">badanych</m:t>
            </m:r>
            <m:r>
              <w:rPr>
                <w:rFonts w:ascii="Cambria Math" w:hAnsi="Cambria Math"/>
              </w:rPr>
              <m:t xml:space="preserve">ofert</m:t>
            </m:r>
          </m:num>
          <m:den>
            <m:r>
              <w:rPr>
                <w:rFonts w:ascii="Cambria Math" w:hAnsi="Cambria Math"/>
              </w:rPr>
              <m:t xml:space="preserve">cena</m:t>
            </m:r>
            <m:r>
              <w:rPr>
                <w:rFonts w:ascii="Cambria Math" w:hAnsi="Cambria Math"/>
              </w:rPr>
              <m:t xml:space="preserve">badanej</m:t>
            </m:r>
            <m:r>
              <w:rPr>
                <w:rFonts w:ascii="Cambria Math" w:hAnsi="Cambria Math"/>
              </w:rPr>
              <m:t xml:space="preserve">oferty</m:t>
            </m:r>
          </m:den>
        </m:f>
      </m:oMath>
      <w:r>
        <w:rPr>
          <w:color w:val="000000" w:themeColor="text1"/>
        </w:rPr>
        <w:t xml:space="preserve"> x 55</w:t>
      </w:r>
    </w:p>
    <w:p>
      <w:pPr>
        <w:pStyle w:val="ListParagraph"/>
        <w:tabs>
          <w:tab w:val="clear" w:pos="708"/>
          <w:tab w:val="left" w:pos="567" w:leader="none"/>
        </w:tabs>
        <w:spacing w:before="0" w:after="120"/>
        <w:ind w:left="851" w:hanging="0"/>
        <w:jc w:val="both"/>
        <w:rPr>
          <w:color w:val="000000" w:themeColor="text1"/>
        </w:rPr>
      </w:pPr>
      <w:r>
        <w:rPr>
          <w:color w:val="000000" w:themeColor="text1"/>
        </w:rPr>
        <w:t xml:space="preserve">gdzie </w:t>
      </w:r>
      <w:r>
        <w:rPr>
          <w:b/>
          <w:color w:val="000000" w:themeColor="text1"/>
        </w:rPr>
        <w:t>C</w:t>
      </w:r>
      <w:r>
        <w:rPr>
          <w:color w:val="000000" w:themeColor="text1"/>
        </w:rPr>
        <w:t xml:space="preserve"> to ilość punktów przyznana ofercie w kryterium „cena”.</w:t>
      </w:r>
    </w:p>
    <w:p>
      <w:pPr>
        <w:pStyle w:val="ListParagraph"/>
        <w:numPr>
          <w:ilvl w:val="1"/>
          <w:numId w:val="1"/>
        </w:numPr>
        <w:tabs>
          <w:tab w:val="clear" w:pos="708"/>
          <w:tab w:val="left" w:pos="567" w:leader="none"/>
        </w:tabs>
        <w:spacing w:before="0" w:after="120"/>
        <w:ind w:left="851" w:hanging="491"/>
        <w:jc w:val="both"/>
        <w:rPr>
          <w:color w:val="000000" w:themeColor="text1"/>
        </w:rPr>
      </w:pPr>
      <w:r>
        <w:rPr>
          <w:color w:val="000000" w:themeColor="text1"/>
        </w:rPr>
        <w:t>Wyposażenie autobusów w sprawną klimatyzację – maksymalnie 30 punktów.</w:t>
      </w:r>
    </w:p>
    <w:p>
      <w:pPr>
        <w:pStyle w:val="ListParagraph"/>
        <w:tabs>
          <w:tab w:val="clear" w:pos="708"/>
          <w:tab w:val="left" w:pos="567" w:leader="none"/>
        </w:tabs>
        <w:spacing w:before="0" w:after="120"/>
        <w:ind w:left="851" w:hanging="0"/>
        <w:jc w:val="both"/>
        <w:rPr>
          <w:color w:val="000000" w:themeColor="text1"/>
        </w:rPr>
      </w:pPr>
      <w:r>
        <w:rPr>
          <w:color w:val="000000" w:themeColor="text1"/>
        </w:rPr>
        <w:t>Ilość przyznanych punktów w tym kryterium zostanie przeliczona zgodnie ze wzorem:</w:t>
      </w:r>
    </w:p>
    <w:p>
      <w:pPr>
        <w:pStyle w:val="ListParagraph"/>
        <w:tabs>
          <w:tab w:val="clear" w:pos="708"/>
          <w:tab w:val="left" w:pos="567" w:leader="none"/>
        </w:tabs>
        <w:spacing w:before="0" w:after="120"/>
        <w:ind w:left="851" w:hanging="0"/>
        <w:jc w:val="both"/>
        <w:rPr>
          <w:rFonts w:eastAsia="" w:eastAsiaTheme="minorEastAsia"/>
          <w:color w:val="000000" w:themeColor="text1"/>
        </w:rPr>
      </w:pPr>
      <w:r>
        <w:rPr>
          <w:b/>
          <w:color w:val="000000" w:themeColor="text1"/>
        </w:rPr>
        <w:t>K</w:t>
      </w:r>
      <w:r>
        <w:rPr>
          <w:color w:val="000000" w:themeColor="text1"/>
        </w:rPr>
        <w:t xml:space="preserve"> = </w:t>
      </w:r>
      <w:r>
        <w:rPr/>
      </w:r>
      <m:oMath xmlns:m="http://schemas.openxmlformats.org/officeDocument/2006/math">
        <m:f>
          <m:num>
            <m:r>
              <w:rPr>
                <w:rFonts w:ascii="Cambria Math" w:hAnsi="Cambria Math"/>
              </w:rPr>
              <m:t xml:space="preserve">liczba</m:t>
            </m:r>
            <m:r>
              <w:rPr>
                <w:rFonts w:ascii="Cambria Math" w:hAnsi="Cambria Math"/>
              </w:rPr>
              <m:t xml:space="preserve">zaoferowanych</m:t>
            </m:r>
            <m:r>
              <w:rPr>
                <w:rFonts w:ascii="Cambria Math" w:hAnsi="Cambria Math"/>
              </w:rPr>
              <m:t xml:space="preserve">przez</m:t>
            </m:r>
            <m:r>
              <w:rPr>
                <w:rFonts w:ascii="Cambria Math" w:hAnsi="Cambria Math"/>
              </w:rPr>
              <m:t xml:space="preserve">wykonawcę</m:t>
            </m:r>
            <m:r>
              <w:rPr>
                <w:rFonts w:ascii="Cambria Math" w:hAnsi="Cambria Math"/>
              </w:rPr>
              <m:t xml:space="preserve">autobusów</m:t>
            </m:r>
            <m:r>
              <w:rPr>
                <w:rFonts w:ascii="Cambria Math" w:hAnsi="Cambria Math"/>
              </w:rPr>
              <m:t xml:space="preserve">z</m:t>
            </m:r>
            <m:r>
              <w:rPr>
                <w:rFonts w:ascii="Cambria Math" w:hAnsi="Cambria Math"/>
              </w:rPr>
              <m:t xml:space="preserve">klimatyzacją</m:t>
            </m:r>
          </m:num>
          <m:den>
            <m:r>
              <w:rPr>
                <w:rFonts w:ascii="Cambria Math" w:hAnsi="Cambria Math"/>
              </w:rPr>
              <m:t xml:space="preserve">liczba</m:t>
            </m:r>
            <m:r>
              <w:rPr>
                <w:rFonts w:ascii="Cambria Math" w:hAnsi="Cambria Math"/>
              </w:rPr>
              <m:t xml:space="preserve">zaoferowanych</m:t>
            </m:r>
            <m:r>
              <w:rPr>
                <w:rFonts w:ascii="Cambria Math" w:hAnsi="Cambria Math"/>
              </w:rPr>
              <m:t xml:space="preserve">przez</m:t>
            </m:r>
            <m:r>
              <w:rPr>
                <w:rFonts w:ascii="Cambria Math" w:hAnsi="Cambria Math"/>
              </w:rPr>
              <m:t xml:space="preserve">wykonawcę</m:t>
            </m:r>
            <m:r>
              <w:rPr>
                <w:rFonts w:ascii="Cambria Math" w:hAnsi="Cambria Math"/>
              </w:rPr>
              <m:t xml:space="preserve">autobusów</m:t>
            </m:r>
            <m:r>
              <w:rPr>
                <w:rFonts w:ascii="Cambria Math" w:hAnsi="Cambria Math"/>
              </w:rPr>
              <m:t xml:space="preserve">ogółem</m:t>
            </m:r>
          </m:den>
        </m:f>
      </m:oMath>
      <w:r>
        <w:rPr>
          <w:rFonts w:eastAsia="" w:eastAsiaTheme="minorEastAsia"/>
          <w:color w:val="000000" w:themeColor="text1"/>
        </w:rPr>
        <w:t xml:space="preserve"> x 30</w:t>
      </w:r>
    </w:p>
    <w:p>
      <w:pPr>
        <w:pStyle w:val="ListParagraph"/>
        <w:tabs>
          <w:tab w:val="clear" w:pos="708"/>
          <w:tab w:val="left" w:pos="567" w:leader="none"/>
        </w:tabs>
        <w:spacing w:before="0" w:after="120"/>
        <w:ind w:left="851" w:hanging="0"/>
        <w:jc w:val="both"/>
        <w:rPr>
          <w:color w:val="000000" w:themeColor="text1"/>
        </w:rPr>
      </w:pPr>
      <w:r>
        <w:rPr>
          <w:color w:val="000000" w:themeColor="text1"/>
        </w:rPr>
        <w:t xml:space="preserve">gdzie </w:t>
      </w:r>
      <w:r>
        <w:rPr>
          <w:b/>
          <w:color w:val="000000" w:themeColor="text1"/>
        </w:rPr>
        <w:t>K</w:t>
      </w:r>
      <w:r>
        <w:rPr>
          <w:color w:val="000000" w:themeColor="text1"/>
        </w:rPr>
        <w:t xml:space="preserve"> to ilość punktów przyznana w ofercie w kryterium „wyposażenie autobusów w klimatyzację”</w:t>
      </w:r>
    </w:p>
    <w:p>
      <w:pPr>
        <w:pStyle w:val="ListParagraph"/>
        <w:numPr>
          <w:ilvl w:val="1"/>
          <w:numId w:val="1"/>
        </w:numPr>
        <w:tabs>
          <w:tab w:val="clear" w:pos="708"/>
          <w:tab w:val="left" w:pos="567" w:leader="none"/>
        </w:tabs>
        <w:spacing w:before="0" w:after="120"/>
        <w:ind w:left="851" w:hanging="491"/>
        <w:jc w:val="both"/>
        <w:rPr>
          <w:color w:val="000000" w:themeColor="text1"/>
        </w:rPr>
      </w:pPr>
      <w:r>
        <w:rPr>
          <w:color w:val="000000" w:themeColor="text1"/>
        </w:rPr>
        <w:t>Średnia wieku taboru w momencie rozpoczęcia wykonywania usługi – maksymalnie 15 punktów</w:t>
      </w:r>
    </w:p>
    <w:p>
      <w:pPr>
        <w:pStyle w:val="ListParagraph"/>
        <w:tabs>
          <w:tab w:val="clear" w:pos="708"/>
          <w:tab w:val="left" w:pos="567" w:leader="none"/>
        </w:tabs>
        <w:spacing w:before="0" w:after="120"/>
        <w:ind w:left="851" w:hanging="0"/>
        <w:jc w:val="both"/>
        <w:rPr>
          <w:color w:val="000000" w:themeColor="text1"/>
        </w:rPr>
      </w:pPr>
      <w:r>
        <w:rPr>
          <w:color w:val="000000" w:themeColor="text1"/>
        </w:rPr>
        <w:t>Punktacja w tym kryterium zostanie wyliczona w następujący sposób:</w:t>
      </w:r>
    </w:p>
    <w:p>
      <w:pPr>
        <w:pStyle w:val="ListParagraph"/>
        <w:tabs>
          <w:tab w:val="clear" w:pos="708"/>
          <w:tab w:val="left" w:pos="567" w:leader="none"/>
        </w:tabs>
        <w:spacing w:before="0" w:after="120"/>
        <w:ind w:left="851" w:hanging="0"/>
        <w:jc w:val="both"/>
        <w:rPr>
          <w:color w:val="000000" w:themeColor="text1"/>
        </w:rPr>
      </w:pPr>
      <w:r>
        <w:rPr>
          <w:b/>
          <w:color w:val="000000" w:themeColor="text1"/>
        </w:rPr>
        <w:t>W</w:t>
      </w:r>
      <w:r>
        <w:rPr>
          <w:color w:val="000000" w:themeColor="text1"/>
        </w:rPr>
        <w:t xml:space="preserve"> = 2019 – rok produkcji autobusu</w:t>
      </w:r>
    </w:p>
    <w:p>
      <w:pPr>
        <w:pStyle w:val="ListParagraph"/>
        <w:tabs>
          <w:tab w:val="clear" w:pos="708"/>
          <w:tab w:val="left" w:pos="567" w:leader="none"/>
        </w:tabs>
        <w:spacing w:before="0" w:after="120"/>
        <w:ind w:left="851" w:hanging="0"/>
        <w:jc w:val="both"/>
        <w:rPr>
          <w:color w:val="000000" w:themeColor="text1"/>
        </w:rPr>
      </w:pPr>
      <w:r>
        <w:rPr>
          <w:color w:val="000000" w:themeColor="text1"/>
        </w:rPr>
        <w:t xml:space="preserve">gdzie </w:t>
      </w:r>
      <w:r>
        <w:rPr>
          <w:b/>
          <w:color w:val="000000" w:themeColor="text1"/>
        </w:rPr>
        <w:t>W</w:t>
      </w:r>
      <w:r>
        <w:rPr>
          <w:color w:val="000000" w:themeColor="text1"/>
        </w:rPr>
        <w:t xml:space="preserve"> to wiek danego autobusu.</w:t>
      </w:r>
    </w:p>
    <w:p>
      <w:pPr>
        <w:pStyle w:val="ListParagraph"/>
        <w:tabs>
          <w:tab w:val="clear" w:pos="708"/>
          <w:tab w:val="left" w:pos="567" w:leader="none"/>
        </w:tabs>
        <w:spacing w:before="0" w:after="120"/>
        <w:ind w:left="851" w:hanging="0"/>
        <w:jc w:val="both"/>
        <w:rPr>
          <w:rFonts w:eastAsia="" w:eastAsiaTheme="minorEastAsia"/>
          <w:color w:val="000000" w:themeColor="text1"/>
        </w:rPr>
      </w:pPr>
      <w:r>
        <w:rPr>
          <w:b/>
          <w:color w:val="000000" w:themeColor="text1"/>
        </w:rPr>
        <w:t>Wn</w:t>
      </w:r>
      <w:r>
        <w:rPr>
          <w:color w:val="000000" w:themeColor="text1"/>
        </w:rPr>
        <w:t xml:space="preserve"> = </w:t>
      </w:r>
      <w:r>
        <w:rPr/>
      </w:r>
      <m:oMath xmlns:m="http://schemas.openxmlformats.org/officeDocument/2006/math">
        <m:f>
          <m:num>
            <m:r>
              <w:rPr>
                <w:rFonts w:ascii="Cambria Math" w:hAnsi="Cambria Math"/>
              </w:rPr>
              <m:t xml:space="preserve">suma</m:t>
            </m:r>
            <m:r>
              <w:rPr>
                <w:rFonts w:ascii="Cambria Math" w:hAnsi="Cambria Math"/>
              </w:rPr>
              <m:t xml:space="preserve">wartości</m:t>
            </m:r>
            <m:r>
              <w:rPr>
                <w:rFonts w:ascii="Cambria Math" w:hAnsi="Cambria Math"/>
              </w:rPr>
              <m:t xml:space="preserve">W</m:t>
            </m:r>
            <m:r>
              <w:rPr>
                <w:rFonts w:ascii="Cambria Math" w:hAnsi="Cambria Math"/>
              </w:rPr>
              <m:t xml:space="preserve">oferowanych</m:t>
            </m:r>
            <m:r>
              <w:rPr>
                <w:rFonts w:ascii="Cambria Math" w:hAnsi="Cambria Math"/>
              </w:rPr>
              <m:t xml:space="preserve">przez</m:t>
            </m:r>
            <m:r>
              <w:rPr>
                <w:rFonts w:ascii="Cambria Math" w:hAnsi="Cambria Math"/>
              </w:rPr>
              <m:t xml:space="preserve">wykonawcę</m:t>
            </m:r>
            <m:r>
              <w:rPr>
                <w:rFonts w:ascii="Cambria Math" w:hAnsi="Cambria Math"/>
              </w:rPr>
              <m:t xml:space="preserve">autobusów</m:t>
            </m:r>
          </m:num>
          <m:den>
            <m:r>
              <w:rPr>
                <w:rFonts w:ascii="Cambria Math" w:hAnsi="Cambria Math"/>
              </w:rPr>
              <m:t xml:space="preserve">liczba</m:t>
            </m:r>
            <m:r>
              <w:rPr>
                <w:rFonts w:ascii="Cambria Math" w:hAnsi="Cambria Math"/>
              </w:rPr>
              <m:t xml:space="preserve">zaoferowanych</m:t>
            </m:r>
            <m:r>
              <w:rPr>
                <w:rFonts w:ascii="Cambria Math" w:hAnsi="Cambria Math"/>
              </w:rPr>
              <m:t xml:space="preserve">przez</m:t>
            </m:r>
            <m:r>
              <w:rPr>
                <w:rFonts w:ascii="Cambria Math" w:hAnsi="Cambria Math"/>
              </w:rPr>
              <m:t xml:space="preserve">wykonawcę</m:t>
            </m:r>
            <m:r>
              <w:rPr>
                <w:rFonts w:ascii="Cambria Math" w:hAnsi="Cambria Math"/>
              </w:rPr>
              <m:t xml:space="preserve">autobusów</m:t>
            </m:r>
            <m:r>
              <w:rPr>
                <w:rFonts w:ascii="Cambria Math" w:hAnsi="Cambria Math"/>
              </w:rPr>
              <m:t xml:space="preserve">ogółem</m:t>
            </m:r>
          </m:den>
        </m:f>
      </m:oMath>
    </w:p>
    <w:p>
      <w:pPr>
        <w:pStyle w:val="ListParagraph"/>
        <w:tabs>
          <w:tab w:val="clear" w:pos="708"/>
          <w:tab w:val="left" w:pos="567" w:leader="none"/>
        </w:tabs>
        <w:spacing w:before="0" w:after="120"/>
        <w:ind w:left="851" w:hanging="0"/>
        <w:jc w:val="both"/>
        <w:rPr>
          <w:color w:val="000000" w:themeColor="text1"/>
        </w:rPr>
      </w:pPr>
      <w:r>
        <w:rPr>
          <w:color w:val="000000" w:themeColor="text1"/>
        </w:rPr>
        <w:t xml:space="preserve">gdzie </w:t>
      </w:r>
      <w:r>
        <w:rPr>
          <w:b/>
          <w:color w:val="000000" w:themeColor="text1"/>
        </w:rPr>
        <w:t>Wn</w:t>
      </w:r>
      <w:r>
        <w:rPr>
          <w:color w:val="000000" w:themeColor="text1"/>
        </w:rPr>
        <w:t xml:space="preserve"> to średnia wieku oferowanego taboru punktowana w następujący sposób:</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14 lat do 15 lat włącznie – 1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13 lat do 14 lat włącznie – 2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12 lat do 13 lat włącznie – 3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11 lat do 12 lat włącznie – 4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10 lat do 11 lat włącznie – 5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9 lat do 10 lat włącznie – 6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8 lat do 9 lat włącznie – 7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7 lat do 8 lat włącznie – 8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6 lat do 7 lat włącznie – 9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5 lat do 6 lat włącznie – 10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4 lat do 5 lat włącznie – 11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3 lat do 4 lat włącznie – 12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2 lat do 3 lat włącznie – 13 pkt</w:t>
      </w:r>
    </w:p>
    <w:p>
      <w:pPr>
        <w:pStyle w:val="ListParagraph"/>
        <w:tabs>
          <w:tab w:val="clear" w:pos="708"/>
          <w:tab w:val="left" w:pos="567" w:leader="none"/>
        </w:tabs>
        <w:spacing w:lineRule="auto" w:line="240" w:before="0" w:after="0"/>
        <w:ind w:left="851" w:hanging="0"/>
        <w:jc w:val="both"/>
        <w:rPr>
          <w:color w:val="000000" w:themeColor="text1"/>
        </w:rPr>
      </w:pPr>
      <w:r>
        <w:rPr>
          <w:color w:val="000000" w:themeColor="text1"/>
        </w:rPr>
        <w:tab/>
        <w:t>- w przedziale powyżej 1 roku do 2 lat włącznie – 14 pkt</w:t>
      </w:r>
    </w:p>
    <w:p>
      <w:pPr>
        <w:pStyle w:val="ListParagraph"/>
        <w:tabs>
          <w:tab w:val="clear" w:pos="708"/>
          <w:tab w:val="left" w:pos="567" w:leader="none"/>
        </w:tabs>
        <w:spacing w:before="0" w:after="120"/>
        <w:ind w:left="851" w:hanging="0"/>
        <w:jc w:val="both"/>
        <w:rPr>
          <w:color w:val="000000" w:themeColor="text1"/>
        </w:rPr>
      </w:pPr>
      <w:r>
        <w:rPr>
          <w:color w:val="000000" w:themeColor="text1"/>
        </w:rPr>
        <w:tab/>
        <w:t>- w przedziale powyżej 0 do 1 roku włącznie – 15 pkt</w:t>
      </w:r>
    </w:p>
    <w:p>
      <w:pPr>
        <w:pStyle w:val="ListParagraph"/>
        <w:numPr>
          <w:ilvl w:val="1"/>
          <w:numId w:val="1"/>
        </w:numPr>
        <w:tabs>
          <w:tab w:val="clear" w:pos="708"/>
          <w:tab w:val="left" w:pos="567" w:leader="none"/>
        </w:tabs>
        <w:spacing w:before="0" w:after="120"/>
        <w:ind w:left="851" w:hanging="491"/>
        <w:jc w:val="both"/>
        <w:rPr>
          <w:color w:val="000000" w:themeColor="text1"/>
        </w:rPr>
      </w:pPr>
      <w:r>
        <w:rPr>
          <w:color w:val="000000" w:themeColor="text1"/>
        </w:rPr>
        <w:t>Końcowa wartość punktowa obliczana będzie według poniższego wzoru:</w:t>
      </w:r>
    </w:p>
    <w:p>
      <w:pPr>
        <w:pStyle w:val="ListParagraph"/>
        <w:tabs>
          <w:tab w:val="clear" w:pos="708"/>
          <w:tab w:val="left" w:pos="567" w:leader="none"/>
        </w:tabs>
        <w:spacing w:lineRule="auto" w:line="240" w:before="0" w:after="120"/>
        <w:ind w:left="851" w:hanging="0"/>
        <w:jc w:val="both"/>
        <w:rPr>
          <w:b/>
          <w:b/>
          <w:color w:val="000000" w:themeColor="text1"/>
        </w:rPr>
      </w:pPr>
      <w:r>
        <w:rPr>
          <w:b/>
          <w:color w:val="000000" w:themeColor="text1"/>
        </w:rPr>
        <w:t>S = C + K + Wn</w:t>
      </w:r>
    </w:p>
    <w:p>
      <w:pPr>
        <w:pStyle w:val="ListParagraph"/>
        <w:tabs>
          <w:tab w:val="clear" w:pos="708"/>
          <w:tab w:val="left" w:pos="567" w:leader="none"/>
        </w:tabs>
        <w:spacing w:lineRule="auto" w:line="240" w:before="0" w:after="120"/>
        <w:ind w:left="851" w:hanging="0"/>
        <w:jc w:val="both"/>
        <w:rPr>
          <w:color w:val="000000" w:themeColor="text1"/>
        </w:rPr>
      </w:pPr>
      <w:r>
        <w:rPr>
          <w:color w:val="000000" w:themeColor="text1"/>
        </w:rPr>
        <w:t>gdzie:</w:t>
      </w:r>
    </w:p>
    <w:p>
      <w:pPr>
        <w:pStyle w:val="ListParagraph"/>
        <w:tabs>
          <w:tab w:val="clear" w:pos="708"/>
          <w:tab w:val="left" w:pos="567" w:leader="none"/>
          <w:tab w:val="left" w:pos="1701" w:leader="none"/>
        </w:tabs>
        <w:spacing w:lineRule="auto" w:line="240" w:before="0" w:after="0"/>
        <w:ind w:left="1418" w:hanging="567"/>
        <w:jc w:val="both"/>
        <w:rPr>
          <w:color w:val="000000" w:themeColor="text1"/>
        </w:rPr>
      </w:pPr>
      <w:r>
        <w:rPr>
          <w:b/>
          <w:color w:val="000000" w:themeColor="text1"/>
        </w:rPr>
        <w:t>S</w:t>
      </w:r>
      <w:r>
        <w:rPr>
          <w:color w:val="000000" w:themeColor="text1"/>
        </w:rPr>
        <w:t xml:space="preserve"> – to suma punktów przyznanych wykonawcy;</w:t>
      </w:r>
    </w:p>
    <w:p>
      <w:pPr>
        <w:pStyle w:val="ListParagraph"/>
        <w:tabs>
          <w:tab w:val="clear" w:pos="708"/>
          <w:tab w:val="left" w:pos="567" w:leader="none"/>
          <w:tab w:val="left" w:pos="1701" w:leader="none"/>
        </w:tabs>
        <w:spacing w:lineRule="auto" w:line="240" w:before="0" w:after="0"/>
        <w:ind w:left="1418" w:hanging="567"/>
        <w:jc w:val="both"/>
        <w:rPr>
          <w:color w:val="000000" w:themeColor="text1"/>
        </w:rPr>
      </w:pPr>
      <w:r>
        <w:rPr>
          <w:b/>
          <w:color w:val="000000" w:themeColor="text1"/>
        </w:rPr>
        <w:t>C</w:t>
      </w:r>
      <w:r>
        <w:rPr>
          <w:color w:val="000000" w:themeColor="text1"/>
        </w:rPr>
        <w:t xml:space="preserve"> – to ilość punktów przyznanych ofercie w kryterium „cena”;</w:t>
      </w:r>
    </w:p>
    <w:p>
      <w:pPr>
        <w:pStyle w:val="ListParagraph"/>
        <w:tabs>
          <w:tab w:val="clear" w:pos="708"/>
          <w:tab w:val="left" w:pos="567" w:leader="none"/>
          <w:tab w:val="left" w:pos="1701" w:leader="none"/>
        </w:tabs>
        <w:spacing w:lineRule="auto" w:line="240" w:before="0" w:after="0"/>
        <w:ind w:left="1134" w:hanging="283"/>
        <w:jc w:val="both"/>
        <w:rPr>
          <w:color w:val="000000" w:themeColor="text1"/>
        </w:rPr>
      </w:pPr>
      <w:r>
        <w:rPr>
          <w:b/>
          <w:color w:val="000000" w:themeColor="text1"/>
        </w:rPr>
        <w:t>K</w:t>
      </w:r>
      <w:r>
        <w:rPr>
          <w:color w:val="000000" w:themeColor="text1"/>
        </w:rPr>
        <w:t xml:space="preserve"> – to ilość punktów przyznanych ofercie w kryterium „wyposażenie autobusów w klimatyzację”;</w:t>
      </w:r>
    </w:p>
    <w:p>
      <w:pPr>
        <w:pStyle w:val="ListParagraph"/>
        <w:tabs>
          <w:tab w:val="clear" w:pos="708"/>
          <w:tab w:val="left" w:pos="567" w:leader="none"/>
          <w:tab w:val="left" w:pos="1701" w:leader="none"/>
        </w:tabs>
        <w:spacing w:lineRule="auto" w:line="240" w:before="0" w:after="120"/>
        <w:ind w:left="1418" w:hanging="567"/>
        <w:jc w:val="both"/>
        <w:rPr>
          <w:color w:val="000000" w:themeColor="text1"/>
        </w:rPr>
      </w:pPr>
      <w:r>
        <w:rPr>
          <w:b/>
          <w:color w:val="000000" w:themeColor="text1"/>
        </w:rPr>
        <w:t>Wn</w:t>
      </w:r>
      <w:r>
        <w:rPr>
          <w:color w:val="000000" w:themeColor="text1"/>
        </w:rPr>
        <w:t xml:space="preserve"> – to ilość punktów przyznanych ofercie w kryterium „średnia wieku taboru”.</w:t>
      </w:r>
    </w:p>
    <w:p>
      <w:pPr>
        <w:pStyle w:val="ListParagraph"/>
        <w:numPr>
          <w:ilvl w:val="0"/>
          <w:numId w:val="1"/>
        </w:numPr>
        <w:tabs>
          <w:tab w:val="clear" w:pos="708"/>
          <w:tab w:val="left" w:pos="567" w:leader="none"/>
        </w:tabs>
        <w:spacing w:before="0" w:after="120"/>
        <w:jc w:val="both"/>
        <w:rPr>
          <w:b/>
          <w:b/>
          <w:color w:val="000000" w:themeColor="text1"/>
        </w:rPr>
      </w:pPr>
      <w:r>
        <w:rPr>
          <w:b/>
          <w:color w:val="000000" w:themeColor="text1"/>
        </w:rPr>
        <w:t>Informacja o formalnościach, jakie powinny zostać dopełnione po wyborze oferty w celu zawarcia umowy o koncesji na usługi.</w:t>
      </w:r>
    </w:p>
    <w:p>
      <w:pPr>
        <w:pStyle w:val="ListParagraph"/>
        <w:numPr>
          <w:ilvl w:val="1"/>
          <w:numId w:val="1"/>
        </w:numPr>
        <w:tabs>
          <w:tab w:val="clear" w:pos="708"/>
          <w:tab w:val="left" w:pos="567" w:leader="none"/>
        </w:tabs>
        <w:spacing w:before="0" w:after="0"/>
        <w:ind w:left="851" w:hanging="494"/>
        <w:jc w:val="both"/>
        <w:rPr>
          <w:color w:val="000000" w:themeColor="text1"/>
        </w:rPr>
      </w:pPr>
      <w:r>
        <w:rPr>
          <w:color w:val="000000" w:themeColor="text1"/>
        </w:rPr>
        <w:t>Dostarczenie wykazu pojazdów przeznaczonych do wykonania usługi wraz z kopiami dowodów rejestracyjnych.</w:t>
      </w:r>
    </w:p>
    <w:p>
      <w:pPr>
        <w:pStyle w:val="ListParagraph"/>
        <w:numPr>
          <w:ilvl w:val="1"/>
          <w:numId w:val="1"/>
        </w:numPr>
        <w:tabs>
          <w:tab w:val="clear" w:pos="708"/>
          <w:tab w:val="left" w:pos="567" w:leader="none"/>
        </w:tabs>
        <w:spacing w:before="0" w:after="0"/>
        <w:ind w:left="851" w:hanging="494"/>
        <w:jc w:val="both"/>
        <w:rPr>
          <w:color w:val="000000" w:themeColor="text1"/>
        </w:rPr>
      </w:pPr>
      <w:r>
        <w:rPr>
          <w:color w:val="000000" w:themeColor="text1"/>
        </w:rPr>
        <w:t>Dostarczenie wykazu kas rejestrujących posiadających pozytywną opinię ministra właściwego do spraw finansów publicznych, umożliwiających określenie kwoty dopłat do przewozów</w:t>
        <w:br/>
        <w:t>w podziale na poszczególne kategorie ulg ustawowych wraz z numerami fabrycznymi</w:t>
        <w:br/>
        <w:t>i numerami unikatowymi, które będą używane w trakcie realizacji usługi.</w:t>
      </w:r>
    </w:p>
    <w:p>
      <w:pPr>
        <w:pStyle w:val="ListParagraph"/>
        <w:numPr>
          <w:ilvl w:val="1"/>
          <w:numId w:val="1"/>
        </w:numPr>
        <w:tabs>
          <w:tab w:val="clear" w:pos="708"/>
          <w:tab w:val="left" w:pos="567" w:leader="none"/>
        </w:tabs>
        <w:spacing w:before="0" w:after="0"/>
        <w:ind w:left="851" w:hanging="494"/>
        <w:jc w:val="both"/>
        <w:rPr>
          <w:color w:val="000000" w:themeColor="text1"/>
        </w:rPr>
      </w:pPr>
      <w:r>
        <w:rPr>
          <w:color w:val="000000" w:themeColor="text1"/>
        </w:rPr>
        <w:t xml:space="preserve">Dostarczenie kopii polisy potwierdzającej zawarcie umowy ubezpieczenia od odpowiedzialności cywilnej w zakresie prowadzonej działalności obejmującej przedmiotową usługę. </w:t>
      </w:r>
    </w:p>
    <w:p>
      <w:pPr>
        <w:pStyle w:val="ListParagraph"/>
        <w:numPr>
          <w:ilvl w:val="1"/>
          <w:numId w:val="1"/>
        </w:numPr>
        <w:tabs>
          <w:tab w:val="clear" w:pos="708"/>
          <w:tab w:val="left" w:pos="567" w:leader="none"/>
        </w:tabs>
        <w:spacing w:before="0" w:after="120"/>
        <w:ind w:left="850" w:hanging="493"/>
        <w:jc w:val="both"/>
        <w:rPr>
          <w:color w:val="000000" w:themeColor="text1"/>
        </w:rPr>
      </w:pPr>
      <w:r>
        <w:rPr>
          <w:color w:val="000000" w:themeColor="text1"/>
        </w:rPr>
        <w:t>Dostarczenie wykazu kierowców, którzy będą wykonywać usługę, wraz z kopiami praw jazdy.</w:t>
      </w:r>
    </w:p>
    <w:p>
      <w:pPr>
        <w:pStyle w:val="ListParagraph"/>
        <w:numPr>
          <w:ilvl w:val="0"/>
          <w:numId w:val="1"/>
        </w:numPr>
        <w:tabs>
          <w:tab w:val="clear" w:pos="708"/>
          <w:tab w:val="left" w:pos="567" w:leader="none"/>
        </w:tabs>
        <w:spacing w:before="0" w:after="120"/>
        <w:jc w:val="both"/>
        <w:rPr>
          <w:b/>
          <w:b/>
        </w:rPr>
      </w:pPr>
      <w:r>
        <w:rPr>
          <w:b/>
        </w:rPr>
        <w:t>Podwykonawcy.</w:t>
      </w:r>
    </w:p>
    <w:p>
      <w:pPr>
        <w:pStyle w:val="ListParagraph"/>
        <w:tabs>
          <w:tab w:val="clear" w:pos="708"/>
          <w:tab w:val="left" w:pos="993" w:leader="none"/>
        </w:tabs>
        <w:spacing w:before="0" w:after="120"/>
        <w:ind w:left="426" w:hanging="0"/>
        <w:jc w:val="both"/>
        <w:rPr/>
      </w:pPr>
      <w:r>
        <w:rPr/>
        <w:t>Dopuszczalne jest zlecenie przez Wykonawcę wykonywania usługi w wymiarze nie większym niż 50 % wielkości zamówienia, wyrażonej w wozokilometrach.</w:t>
      </w:r>
    </w:p>
    <w:p>
      <w:pPr>
        <w:pStyle w:val="ListParagraph"/>
        <w:spacing w:before="0" w:after="200"/>
        <w:ind w:left="851" w:hanging="0"/>
        <w:jc w:val="both"/>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1c3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a3559"/>
    <w:rPr>
      <w:sz w:val="16"/>
      <w:szCs w:val="16"/>
    </w:rPr>
  </w:style>
  <w:style w:type="character" w:styleId="TekstkomentarzaZnak" w:customStyle="1">
    <w:name w:val="Tekst komentarza Znak"/>
    <w:basedOn w:val="DefaultParagraphFont"/>
    <w:link w:val="Tekstkomentarza"/>
    <w:uiPriority w:val="99"/>
    <w:semiHidden/>
    <w:qFormat/>
    <w:rsid w:val="00fa3559"/>
    <w:rPr>
      <w:sz w:val="20"/>
      <w:szCs w:val="20"/>
    </w:rPr>
  </w:style>
  <w:style w:type="character" w:styleId="TematkomentarzaZnak" w:customStyle="1">
    <w:name w:val="Temat komentarza Znak"/>
    <w:basedOn w:val="TekstkomentarzaZnak"/>
    <w:link w:val="Tematkomentarza"/>
    <w:uiPriority w:val="99"/>
    <w:semiHidden/>
    <w:qFormat/>
    <w:rsid w:val="00fa3559"/>
    <w:rPr>
      <w:b/>
      <w:bCs/>
      <w:sz w:val="20"/>
      <w:szCs w:val="20"/>
    </w:rPr>
  </w:style>
  <w:style w:type="character" w:styleId="TekstdymkaZnak" w:customStyle="1">
    <w:name w:val="Tekst dymka Znak"/>
    <w:basedOn w:val="DefaultParagraphFont"/>
    <w:link w:val="Tekstdymka"/>
    <w:uiPriority w:val="99"/>
    <w:semiHidden/>
    <w:qFormat/>
    <w:rsid w:val="00fa3559"/>
    <w:rPr>
      <w:rFonts w:ascii="Tahoma" w:hAnsi="Tahoma" w:cs="Tahoma"/>
      <w:sz w:val="16"/>
      <w:szCs w:val="16"/>
    </w:rPr>
  </w:style>
  <w:style w:type="character" w:styleId="TekstprzypisukocowegoZnak" w:customStyle="1">
    <w:name w:val="Tekst przypisu końcowego Znak"/>
    <w:basedOn w:val="DefaultParagraphFont"/>
    <w:link w:val="Tekstprzypisukocowego"/>
    <w:uiPriority w:val="99"/>
    <w:semiHidden/>
    <w:qFormat/>
    <w:rsid w:val="00540847"/>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540847"/>
    <w:rPr>
      <w:vertAlign w:val="superscript"/>
    </w:rPr>
  </w:style>
  <w:style w:type="character" w:styleId="Czeinternetowe">
    <w:name w:val="Łącze internetowe"/>
    <w:basedOn w:val="DefaultParagraphFont"/>
    <w:uiPriority w:val="99"/>
    <w:unhideWhenUsed/>
    <w:rsid w:val="00643b96"/>
    <w:rPr>
      <w:color w:val="0000FF" w:themeColor="hyperlink"/>
      <w:u w:val="single"/>
    </w:rPr>
  </w:style>
  <w:style w:type="character" w:styleId="UnresolvedMention" w:customStyle="1">
    <w:name w:val="Unresolved Mention"/>
    <w:basedOn w:val="DefaultParagraphFont"/>
    <w:uiPriority w:val="99"/>
    <w:semiHidden/>
    <w:unhideWhenUsed/>
    <w:qFormat/>
    <w:rsid w:val="00643b96"/>
    <w:rPr>
      <w:color w:val="605E5C"/>
      <w:shd w:fill="E1DFDD" w:val="clear"/>
    </w:rPr>
  </w:style>
  <w:style w:type="character" w:styleId="PlaceholderText">
    <w:name w:val="Placeholder Text"/>
    <w:basedOn w:val="DefaultParagraphFont"/>
    <w:uiPriority w:val="99"/>
    <w:semiHidden/>
    <w:qFormat/>
    <w:rsid w:val="001638bf"/>
    <w:rPr>
      <w:color w:val="80808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9c6ac8"/>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fa3559"/>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a3559"/>
    <w:pPr/>
    <w:rPr>
      <w:b/>
      <w:bCs/>
    </w:rPr>
  </w:style>
  <w:style w:type="paragraph" w:styleId="BalloonText">
    <w:name w:val="Balloon Text"/>
    <w:basedOn w:val="Normal"/>
    <w:link w:val="TekstdymkaZnak"/>
    <w:uiPriority w:val="99"/>
    <w:semiHidden/>
    <w:unhideWhenUsed/>
    <w:qFormat/>
    <w:rsid w:val="00fa3559"/>
    <w:pPr>
      <w:spacing w:lineRule="auto" w:line="240" w:before="0" w:after="0"/>
    </w:pPr>
    <w:rPr>
      <w:rFonts w:ascii="Tahoma" w:hAnsi="Tahoma" w:cs="Tahoma"/>
      <w:sz w:val="16"/>
      <w:szCs w:val="16"/>
    </w:rPr>
  </w:style>
  <w:style w:type="paragraph" w:styleId="Przypiskocowy">
    <w:name w:val="Endnote Text"/>
    <w:basedOn w:val="Normal"/>
    <w:link w:val="TekstprzypisukocowegoZnak"/>
    <w:uiPriority w:val="99"/>
    <w:semiHidden/>
    <w:unhideWhenUsed/>
    <w:rsid w:val="00540847"/>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23AA-C8A1-4D2D-BEF2-E3858827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Application>LibreOffice/6.3.0.4$Windows_X86_64 LibreOffice_project/057fc023c990d676a43019934386b85b21a9ee99</Application>
  <Pages>4</Pages>
  <Words>1395</Words>
  <Characters>8517</Characters>
  <CharactersWithSpaces>9874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2019-09-06T11:11:00Z</dcterms:created>
  <dc:creator>filip.stachowiec</dc:creator>
  <dc:description/>
  <dc:language>pl-PL</dc:language>
  <cp:lastModifiedBy/>
  <dcterms:modified xsi:type="dcterms:W3CDTF">2019-09-23T10:32:53Z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